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00" w:rsidRPr="003D32B9" w:rsidRDefault="00880E00" w:rsidP="00880E00">
      <w:pPr>
        <w:spacing w:after="0" w:line="240" w:lineRule="auto"/>
        <w:jc w:val="center"/>
        <w:rPr>
          <w:b/>
          <w:sz w:val="48"/>
          <w:szCs w:val="48"/>
        </w:rPr>
      </w:pPr>
      <w:r w:rsidRPr="003D32B9">
        <w:rPr>
          <w:b/>
          <w:sz w:val="48"/>
          <w:szCs w:val="48"/>
        </w:rPr>
        <w:t>DIRECCION GENERAL DE OBRAS PÚBLICAS</w:t>
      </w:r>
    </w:p>
    <w:p w:rsidR="00880E00" w:rsidRPr="00234A90" w:rsidRDefault="00880E00" w:rsidP="00880E00">
      <w:pPr>
        <w:spacing w:after="0" w:line="240" w:lineRule="auto"/>
        <w:jc w:val="center"/>
        <w:rPr>
          <w:b/>
          <w:sz w:val="24"/>
          <w:szCs w:val="24"/>
        </w:rPr>
      </w:pPr>
      <w:r w:rsidRPr="00234A90">
        <w:rPr>
          <w:b/>
          <w:sz w:val="24"/>
          <w:szCs w:val="24"/>
        </w:rPr>
        <w:t>SECRETARIA EJECUTIVA DE MEDIO AMBIENTE Y TERRITORIO</w:t>
      </w:r>
    </w:p>
    <w:p w:rsidR="00880E00" w:rsidRDefault="00880E00" w:rsidP="00880E00">
      <w:pPr>
        <w:spacing w:after="0" w:line="240" w:lineRule="auto"/>
        <w:jc w:val="center"/>
        <w:rPr>
          <w:b/>
          <w:sz w:val="28"/>
          <w:szCs w:val="28"/>
        </w:rPr>
      </w:pPr>
    </w:p>
    <w:p w:rsidR="00880E00" w:rsidRDefault="00880E00" w:rsidP="00880E0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REUNIÓN DE ANALISIS DE PERTINENCIA DE CONSULTA INDIGENA</w:t>
      </w:r>
    </w:p>
    <w:p w:rsidR="00880E00" w:rsidRPr="003E6419" w:rsidRDefault="00880E00" w:rsidP="00880E00">
      <w:pPr>
        <w:spacing w:after="0" w:line="240" w:lineRule="auto"/>
        <w:jc w:val="center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5751"/>
      </w:tblGrid>
      <w:tr w:rsidR="00880E00" w:rsidRPr="002332D0" w:rsidTr="00AB1E96">
        <w:trPr>
          <w:jc w:val="center"/>
        </w:trPr>
        <w:tc>
          <w:tcPr>
            <w:tcW w:w="3227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PROYECTO</w:t>
            </w:r>
          </w:p>
        </w:tc>
        <w:tc>
          <w:tcPr>
            <w:tcW w:w="5751" w:type="dxa"/>
          </w:tcPr>
          <w:p w:rsidR="00880E00" w:rsidRPr="00314789" w:rsidRDefault="00880E00" w:rsidP="00AB1E96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MEJORAMIENTO CALETA HANGA PIKO</w:t>
            </w:r>
          </w:p>
        </w:tc>
      </w:tr>
      <w:tr w:rsidR="00880E00" w:rsidRPr="002332D0" w:rsidTr="00AB1E96">
        <w:trPr>
          <w:jc w:val="center"/>
        </w:trPr>
        <w:tc>
          <w:tcPr>
            <w:tcW w:w="3227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DIRECCIÓN</w:t>
            </w:r>
          </w:p>
        </w:tc>
        <w:tc>
          <w:tcPr>
            <w:tcW w:w="5751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DIRECCION DE OBRAS PORTUARIAS</w:t>
            </w:r>
          </w:p>
        </w:tc>
      </w:tr>
      <w:tr w:rsidR="00880E00" w:rsidRPr="002332D0" w:rsidTr="00AB1E96">
        <w:trPr>
          <w:jc w:val="center"/>
        </w:trPr>
        <w:tc>
          <w:tcPr>
            <w:tcW w:w="3227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 w:rsidRPr="002332D0">
              <w:rPr>
                <w:b/>
              </w:rPr>
              <w:t>FECHA</w:t>
            </w:r>
          </w:p>
        </w:tc>
        <w:tc>
          <w:tcPr>
            <w:tcW w:w="5751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 DE MARZO DE 2015</w:t>
            </w:r>
          </w:p>
        </w:tc>
      </w:tr>
      <w:tr w:rsidR="00880E00" w:rsidRPr="002332D0" w:rsidTr="00AB1E96">
        <w:trPr>
          <w:jc w:val="center"/>
        </w:trPr>
        <w:tc>
          <w:tcPr>
            <w:tcW w:w="3227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 w:rsidRPr="002332D0">
              <w:rPr>
                <w:b/>
              </w:rPr>
              <w:t xml:space="preserve">LUGAR </w:t>
            </w:r>
          </w:p>
        </w:tc>
        <w:tc>
          <w:tcPr>
            <w:tcW w:w="5751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SALA DE REUNIONES DE PLANIFICACION DOP</w:t>
            </w:r>
          </w:p>
        </w:tc>
      </w:tr>
      <w:tr w:rsidR="00880E00" w:rsidRPr="002332D0" w:rsidTr="00AB1E96">
        <w:trPr>
          <w:jc w:val="center"/>
        </w:trPr>
        <w:tc>
          <w:tcPr>
            <w:tcW w:w="3227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 w:rsidRPr="002332D0">
              <w:rPr>
                <w:b/>
              </w:rPr>
              <w:t xml:space="preserve">HORA </w:t>
            </w:r>
          </w:p>
        </w:tc>
        <w:tc>
          <w:tcPr>
            <w:tcW w:w="5751" w:type="dxa"/>
          </w:tcPr>
          <w:p w:rsidR="00880E00" w:rsidRPr="002332D0" w:rsidRDefault="00880E00" w:rsidP="00AB1E9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16:00 HRS.</w:t>
            </w:r>
          </w:p>
        </w:tc>
      </w:tr>
    </w:tbl>
    <w:p w:rsidR="00880E00" w:rsidRDefault="00880E00" w:rsidP="00880E00">
      <w:pPr>
        <w:tabs>
          <w:tab w:val="left" w:pos="3600"/>
        </w:tabs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880E00" w:rsidRPr="002332D0" w:rsidTr="00AB1E96">
        <w:trPr>
          <w:jc w:val="center"/>
        </w:trPr>
        <w:tc>
          <w:tcPr>
            <w:tcW w:w="8978" w:type="dxa"/>
          </w:tcPr>
          <w:p w:rsidR="00880E00" w:rsidRPr="00E946E9" w:rsidRDefault="00880E00" w:rsidP="00AB1E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946E9">
              <w:rPr>
                <w:b/>
                <w:sz w:val="24"/>
                <w:szCs w:val="24"/>
              </w:rPr>
              <w:t>TEMAS TRATADOS</w:t>
            </w:r>
          </w:p>
        </w:tc>
      </w:tr>
      <w:tr w:rsidR="00880E00" w:rsidRPr="00F34E13" w:rsidTr="00AB1E96">
        <w:trPr>
          <w:trHeight w:val="2181"/>
          <w:jc w:val="center"/>
        </w:trPr>
        <w:tc>
          <w:tcPr>
            <w:tcW w:w="8978" w:type="dxa"/>
          </w:tcPr>
          <w:p w:rsidR="00880E00" w:rsidRDefault="00880E00" w:rsidP="00AB1E96">
            <w:pPr>
              <w:numPr>
                <w:ilvl w:val="0"/>
                <w:numId w:val="1"/>
              </w:numPr>
              <w:spacing w:after="0" w:line="240" w:lineRule="auto"/>
              <w:ind w:left="246" w:hanging="246"/>
              <w:jc w:val="both"/>
              <w:rPr>
                <w:sz w:val="24"/>
                <w:szCs w:val="24"/>
              </w:rPr>
            </w:pPr>
            <w:r w:rsidRPr="00E946E9">
              <w:rPr>
                <w:sz w:val="24"/>
                <w:szCs w:val="24"/>
              </w:rPr>
              <w:t xml:space="preserve">En Sala de reuniones de la Dirección </w:t>
            </w:r>
            <w:r>
              <w:rPr>
                <w:sz w:val="24"/>
                <w:szCs w:val="24"/>
              </w:rPr>
              <w:t>de Obras Portuarias</w:t>
            </w:r>
            <w:r w:rsidRPr="00E946E9">
              <w:rPr>
                <w:sz w:val="24"/>
                <w:szCs w:val="24"/>
              </w:rPr>
              <w:t xml:space="preserve"> se desar</w:t>
            </w:r>
            <w:r>
              <w:rPr>
                <w:sz w:val="24"/>
                <w:szCs w:val="24"/>
              </w:rPr>
              <w:t>rolló esta reunión de análisis. Se contó con la presencia de la Directora Regional de Obras Portuarias de la Región de Valparaíso y de O’Higgins y la UGAT de la Región de Valparaíso.</w:t>
            </w:r>
          </w:p>
          <w:p w:rsidR="00880E00" w:rsidRPr="00E946E9" w:rsidRDefault="00880E00" w:rsidP="00AB1E9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80E00" w:rsidRDefault="00880E00" w:rsidP="00AB1E96">
            <w:pPr>
              <w:numPr>
                <w:ilvl w:val="0"/>
                <w:numId w:val="1"/>
              </w:numPr>
              <w:spacing w:after="0" w:line="240" w:lineRule="auto"/>
              <w:ind w:left="246" w:hanging="2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Primeramente se realizó una presentación del proyecto y sus criterios de afectación, bajo los criterios del DS n° 66 de MIDESO, posteriormente se abrió la discusión donde los participantes expusieron sus opiniones respecto a la realización de consulta indígena</w:t>
            </w:r>
          </w:p>
          <w:p w:rsidR="00880E00" w:rsidRPr="00561819" w:rsidRDefault="00880E00" w:rsidP="00AB1E9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80E00" w:rsidRPr="00E946E9" w:rsidTr="00AB1E96">
        <w:trPr>
          <w:trHeight w:val="286"/>
          <w:jc w:val="center"/>
        </w:trPr>
        <w:tc>
          <w:tcPr>
            <w:tcW w:w="8978" w:type="dxa"/>
          </w:tcPr>
          <w:p w:rsidR="00880E00" w:rsidRPr="00E946E9" w:rsidRDefault="00880E00" w:rsidP="00AB1E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946E9">
              <w:rPr>
                <w:b/>
                <w:sz w:val="24"/>
                <w:szCs w:val="24"/>
              </w:rPr>
              <w:t>ACUERDOS</w:t>
            </w:r>
          </w:p>
        </w:tc>
      </w:tr>
      <w:tr w:rsidR="00880E00" w:rsidRPr="00E946E9" w:rsidTr="00AB1E96">
        <w:trPr>
          <w:trHeight w:val="723"/>
          <w:jc w:val="center"/>
        </w:trPr>
        <w:tc>
          <w:tcPr>
            <w:tcW w:w="8978" w:type="dxa"/>
          </w:tcPr>
          <w:p w:rsidR="00880E00" w:rsidRDefault="00880E00" w:rsidP="00AB1E9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F210B" w:rsidRPr="00937F04" w:rsidRDefault="007F210B" w:rsidP="00937F0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sz w:val="24"/>
                <w:szCs w:val="24"/>
              </w:rPr>
            </w:pPr>
            <w:r w:rsidRPr="00937F04">
              <w:rPr>
                <w:sz w:val="24"/>
                <w:szCs w:val="24"/>
              </w:rPr>
              <w:t xml:space="preserve">La población de la Isla es mayoritariamente del Pueblo Rapa </w:t>
            </w:r>
            <w:proofErr w:type="spellStart"/>
            <w:r w:rsidRPr="00937F04">
              <w:rPr>
                <w:sz w:val="24"/>
                <w:szCs w:val="24"/>
              </w:rPr>
              <w:t>Nui</w:t>
            </w:r>
            <w:proofErr w:type="spellEnd"/>
            <w:r w:rsidRPr="00937F04">
              <w:rPr>
                <w:sz w:val="24"/>
                <w:szCs w:val="24"/>
              </w:rPr>
              <w:t>. Dicho pueblo conoce las implicancias del Convenio 169 de la OIT, por tanto el desarrollo de cualquier proyecto de inversión en la Isla requiere de un proceso de participación y consulta bajo los criterios de este Convenio Internacional.</w:t>
            </w:r>
          </w:p>
          <w:p w:rsidR="007F210B" w:rsidRDefault="007F210B" w:rsidP="00937F0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F210B" w:rsidRPr="00937F04" w:rsidRDefault="007F210B" w:rsidP="00937F0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sz w:val="24"/>
                <w:szCs w:val="24"/>
              </w:rPr>
            </w:pPr>
            <w:r w:rsidRPr="00937F04">
              <w:rPr>
                <w:sz w:val="24"/>
                <w:szCs w:val="24"/>
              </w:rPr>
              <w:t xml:space="preserve">En este proyecto, la realización de la Consulta Indígena, significaría una oportunidad </w:t>
            </w:r>
            <w:r w:rsidR="00937F04" w:rsidRPr="00937F04">
              <w:rPr>
                <w:sz w:val="24"/>
                <w:szCs w:val="24"/>
              </w:rPr>
              <w:t xml:space="preserve">dialogar con el </w:t>
            </w:r>
            <w:r w:rsidRPr="00937F04">
              <w:rPr>
                <w:sz w:val="24"/>
                <w:szCs w:val="24"/>
              </w:rPr>
              <w:t xml:space="preserve">pueblo </w:t>
            </w:r>
            <w:proofErr w:type="spellStart"/>
            <w:r w:rsidRPr="00937F04">
              <w:rPr>
                <w:sz w:val="24"/>
                <w:szCs w:val="24"/>
              </w:rPr>
              <w:t>Rapanui</w:t>
            </w:r>
            <w:proofErr w:type="spellEnd"/>
            <w:r w:rsidR="00937F04" w:rsidRPr="00937F04">
              <w:rPr>
                <w:sz w:val="24"/>
                <w:szCs w:val="24"/>
              </w:rPr>
              <w:t xml:space="preserve"> y para que se defina las obras que se desarrollarían en el área de Hanga </w:t>
            </w:r>
            <w:proofErr w:type="spellStart"/>
            <w:r w:rsidR="00937F04" w:rsidRPr="00937F04">
              <w:rPr>
                <w:sz w:val="24"/>
                <w:szCs w:val="24"/>
              </w:rPr>
              <w:t>Piko</w:t>
            </w:r>
            <w:proofErr w:type="spellEnd"/>
            <w:r w:rsidR="00937F04" w:rsidRPr="00937F04">
              <w:rPr>
                <w:sz w:val="24"/>
                <w:szCs w:val="24"/>
              </w:rPr>
              <w:t>.</w:t>
            </w:r>
          </w:p>
          <w:p w:rsidR="007F210B" w:rsidRDefault="007F210B" w:rsidP="00937F0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80E00" w:rsidRPr="00937F04" w:rsidRDefault="00880E00" w:rsidP="00937F0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sz w:val="24"/>
                <w:szCs w:val="24"/>
              </w:rPr>
            </w:pPr>
            <w:r w:rsidRPr="00937F04">
              <w:rPr>
                <w:sz w:val="24"/>
                <w:szCs w:val="24"/>
              </w:rPr>
              <w:t xml:space="preserve">Los asistentes acordaron en forma unánime, que este proyecto requiere desarrollar consulta indígena </w:t>
            </w:r>
            <w:r w:rsidR="00937F04">
              <w:rPr>
                <w:sz w:val="24"/>
                <w:szCs w:val="24"/>
              </w:rPr>
              <w:t>por los</w:t>
            </w:r>
            <w:r w:rsidRPr="00937F04">
              <w:rPr>
                <w:sz w:val="24"/>
                <w:szCs w:val="24"/>
              </w:rPr>
              <w:t xml:space="preserve"> antecedentes aportados por l</w:t>
            </w:r>
            <w:r w:rsidR="00937F04">
              <w:rPr>
                <w:sz w:val="24"/>
                <w:szCs w:val="24"/>
              </w:rPr>
              <w:t>a Dirección de Obras Portuarias en Minuta del Proyecto y el diálogo realizado durante esta reunión.</w:t>
            </w:r>
            <w:bookmarkStart w:id="0" w:name="_GoBack"/>
            <w:bookmarkEnd w:id="0"/>
          </w:p>
          <w:p w:rsidR="00880E00" w:rsidRDefault="00880E00" w:rsidP="00AB1E9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80E00" w:rsidRPr="001A2B41" w:rsidRDefault="00880E00" w:rsidP="00AB1E96">
            <w:pPr>
              <w:spacing w:after="0" w:line="240" w:lineRule="auto"/>
              <w:ind w:left="360"/>
              <w:jc w:val="both"/>
              <w:rPr>
                <w:sz w:val="24"/>
                <w:szCs w:val="24"/>
              </w:rPr>
            </w:pPr>
          </w:p>
        </w:tc>
      </w:tr>
    </w:tbl>
    <w:p w:rsidR="00042748" w:rsidRDefault="00042748"/>
    <w:sectPr w:rsidR="000427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897"/>
    <w:multiLevelType w:val="hybridMultilevel"/>
    <w:tmpl w:val="AB5A28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A2F6E"/>
    <w:multiLevelType w:val="hybridMultilevel"/>
    <w:tmpl w:val="AB8221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00"/>
    <w:rsid w:val="00042748"/>
    <w:rsid w:val="007F210B"/>
    <w:rsid w:val="00880E00"/>
    <w:rsid w:val="0093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E00"/>
    <w:rPr>
      <w:rFonts w:ascii="Calibri" w:eastAsia="Times New Roman" w:hAnsi="Calibri" w:cs="Times New Roman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E00"/>
    <w:rPr>
      <w:rFonts w:ascii="Calibri" w:eastAsia="Times New Roman" w:hAnsi="Calibri" w:cs="Times New Roman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Araneda Medina (DGOP)</dc:creator>
  <cp:lastModifiedBy>Alejandra Araneda Medina (DGOP)</cp:lastModifiedBy>
  <cp:revision>2</cp:revision>
  <cp:lastPrinted>2015-03-25T15:10:00Z</cp:lastPrinted>
  <dcterms:created xsi:type="dcterms:W3CDTF">2015-03-23T15:00:00Z</dcterms:created>
  <dcterms:modified xsi:type="dcterms:W3CDTF">2015-03-25T15:11:00Z</dcterms:modified>
</cp:coreProperties>
</file>