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/>
      </w:pPr>
      <w:bookmarkStart w:colFirst="0" w:colLast="0" w:name="_rp11y2llcidr" w:id="0"/>
      <w:bookmarkEnd w:id="0"/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color w:val="ffffff"/>
          <w:sz w:val="28"/>
          <w:szCs w:val="28"/>
          <w:shd w:fill="30358c" w:val="clear"/>
          <w:rtl w:val="0"/>
        </w:rPr>
        <w:t xml:space="preserve">FICHA N°13:</w:t>
      </w:r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color w:val="30358c"/>
          <w:sz w:val="28"/>
          <w:szCs w:val="28"/>
          <w:rtl w:val="0"/>
        </w:rPr>
        <w:t xml:space="preserve"> O</w:t>
      </w:r>
      <w:r w:rsidDel="00000000" w:rsidR="00000000" w:rsidRPr="00000000">
        <w:rPr>
          <w:rtl w:val="0"/>
        </w:rPr>
        <w:t xml:space="preserve">RIENTACIO</w:t>
      </w:r>
      <w:r w:rsidDel="00000000" w:rsidR="00000000" w:rsidRPr="00000000">
        <w:rPr>
          <w:rFonts w:ascii="Public Sans Medium" w:cs="Public Sans Medium" w:eastAsia="Public Sans Medium" w:hAnsi="Public Sans Medium"/>
          <w:b w:val="0"/>
          <w:bCs w:val="0"/>
          <w:color w:val="30358c"/>
          <w:sz w:val="28"/>
          <w:szCs w:val="28"/>
          <w:rtl w:val="0"/>
        </w:rPr>
        <w:t xml:space="preserve">NES PARA EL DIÁLOGO TEMPRANO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8mj40i650mn4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Establecer un primer contacto formal y planificado con comunidades y actores territoriales en etapas tempranas del ciclo de vida del proyecto para recoger percepciones iniciales, identificar sensibilidades territoriales y validar los lineamientos generales del proceso de participación ciudadana.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h4m5lmbj4i5f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Herramienta orienta</w:t>
      </w:r>
    </w:p>
    <w:p w:rsidR="00000000" w:rsidDel="00000000" w:rsidP="00000000" w:rsidRDefault="00000000" w:rsidRPr="00000000" w14:paraId="00000006">
      <w:pPr>
        <w:rPr>
          <w:vertAlign w:val="superscript"/>
        </w:rPr>
      </w:pPr>
      <w:r w:rsidDel="00000000" w:rsidR="00000000" w:rsidRPr="00000000">
        <w:rPr>
          <w:rtl w:val="0"/>
        </w:rPr>
        <w:t xml:space="preserve">da a definir criterios y pautas mínimas para el relacionamiento temprano con comunidades y actores territoriales, promoviendo entrega oportuna de información, identificación temprana de sensibilidades territoriales y generación de confianzas desde el inicio del proceso.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ic61d5abzr1" w:id="3"/>
      <w:bookmarkEnd w:id="3"/>
      <w:r w:rsidDel="00000000" w:rsidR="00000000" w:rsidRPr="00000000">
        <w:rPr>
          <w:rtl w:val="0"/>
        </w:rPr>
        <w:t xml:space="preserve">3. PAUTA DE EJECUCIÓN: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6oklwzg3lqo1" w:id="4"/>
      <w:bookmarkEnd w:id="4"/>
      <w:r w:rsidDel="00000000" w:rsidR="00000000" w:rsidRPr="00000000">
        <w:rPr>
          <w:rtl w:val="0"/>
        </w:rPr>
        <w:t xml:space="preserve">PASO 1: PREPARACIÓN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Mapeo preliminar de actores relevantes del territorio (Ficha herramienta N°02).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Definición de mensajes claves a transmitir (objetivo del proyecto, qué etapa del ciclo de vida).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Selección de un lugar de encuentro neutral, accesible y pertinente territorialmente.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jbx9en93h0ps" w:id="5"/>
      <w:bookmarkEnd w:id="5"/>
      <w:r w:rsidDel="00000000" w:rsidR="00000000" w:rsidRPr="00000000">
        <w:rPr>
          <w:rtl w:val="0"/>
        </w:rPr>
        <w:t xml:space="preserve">PASO 2: CONVOCATORIA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Canales de convocatoria a utilizar: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before="0" w:lineRule="auto"/>
        <w:ind w:left="1185" w:hanging="360"/>
        <w:rPr>
          <w:u w:val="none"/>
        </w:rPr>
      </w:pPr>
      <w:r w:rsidDel="00000000" w:rsidR="00000000" w:rsidRPr="00000000">
        <w:rPr>
          <w:rtl w:val="0"/>
        </w:rPr>
        <w:t xml:space="preserve">Carta Formal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before="0" w:lineRule="auto"/>
        <w:ind w:left="1185" w:hanging="360"/>
        <w:rPr>
          <w:u w:val="none"/>
        </w:rPr>
      </w:pPr>
      <w:r w:rsidDel="00000000" w:rsidR="00000000" w:rsidRPr="00000000">
        <w:rPr>
          <w:rtl w:val="0"/>
        </w:rPr>
        <w:t xml:space="preserve">Visita Presencial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before="0" w:lineRule="auto"/>
        <w:ind w:left="1185" w:hanging="360"/>
        <w:rPr>
          <w:u w:val="none"/>
        </w:rPr>
      </w:pPr>
      <w:r w:rsidDel="00000000" w:rsidR="00000000" w:rsidRPr="00000000">
        <w:rPr>
          <w:rtl w:val="0"/>
        </w:rPr>
        <w:t xml:space="preserve">Llamada telefónica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lineRule="auto"/>
        <w:ind w:left="1185" w:hanging="360"/>
        <w:rPr>
          <w:u w:val="none"/>
        </w:rPr>
      </w:pPr>
      <w:r w:rsidDel="00000000" w:rsidR="00000000" w:rsidRPr="00000000">
        <w:rPr>
          <w:rtl w:val="0"/>
        </w:rPr>
        <w:t xml:space="preserve">Otro (especificar)</w:t>
        <w:br w:type="textWrapping"/>
        <w:t xml:space="preserve">_____________________________________________________________________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Actores Prioritarios a convocar (según contexto territorial)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Autoridades locales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Dirigencias y organizaciones indígenas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Juntas de vecinos u organizaciones territoriales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Otros actores relevantes identificados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wag5kzik9gi4" w:id="6"/>
      <w:bookmarkEnd w:id="6"/>
      <w:r w:rsidDel="00000000" w:rsidR="00000000" w:rsidRPr="00000000">
        <w:rPr>
          <w:rtl w:val="0"/>
        </w:rPr>
        <w:t xml:space="preserve">PASO 3: DESARROLLO DE LA REUNIÓN (Lista de verificación)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465" w:hanging="360"/>
      </w:pPr>
      <w:r w:rsidDel="00000000" w:rsidR="00000000" w:rsidRPr="00000000">
        <w:rPr>
          <w:rtl w:val="0"/>
        </w:rPr>
        <w:t xml:space="preserve">Presentación del equipo del proyecto MOP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465" w:hanging="360"/>
      </w:pPr>
      <w:r w:rsidDel="00000000" w:rsidR="00000000" w:rsidRPr="00000000">
        <w:rPr>
          <w:rtl w:val="0"/>
        </w:rPr>
        <w:t xml:space="preserve">Explicación clara de la etapa (Idea, Perfil, Prefactibilidad, etc.) y de los márgenes reales de diseño y decisión.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465" w:hanging="360"/>
      </w:pPr>
      <w:r w:rsidDel="00000000" w:rsidR="00000000" w:rsidRPr="00000000">
        <w:rPr>
          <w:rtl w:val="0"/>
        </w:rPr>
        <w:t xml:space="preserve">Ejercicio de escucha activa: Registro de preocupaciones, expectativas y alertas iniciales del territorio.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465" w:hanging="360"/>
      </w:pPr>
      <w:r w:rsidDel="00000000" w:rsidR="00000000" w:rsidRPr="00000000">
        <w:rPr>
          <w:rtl w:val="0"/>
        </w:rPr>
        <w:t xml:space="preserve">Acuerdo preliminar sobre próximos pasos y lineamientos generales del Plan de Participación Ciudadana.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7fkw78rhtrsv" w:id="7"/>
      <w:bookmarkEnd w:id="7"/>
      <w:r w:rsidDel="00000000" w:rsidR="00000000" w:rsidRPr="00000000">
        <w:rPr>
          <w:rtl w:val="0"/>
        </w:rPr>
        <w:t xml:space="preserve">PASO 4: CIERRE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465" w:hanging="360"/>
      </w:pPr>
      <w:r w:rsidDel="00000000" w:rsidR="00000000" w:rsidRPr="00000000">
        <w:rPr>
          <w:rtl w:val="0"/>
        </w:rPr>
        <w:t xml:space="preserve">Elaboración y firma de Acta de Reunión.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465" w:hanging="360"/>
      </w:pPr>
      <w:r w:rsidDel="00000000" w:rsidR="00000000" w:rsidRPr="00000000">
        <w:rPr>
          <w:rtl w:val="0"/>
        </w:rPr>
        <w:t xml:space="preserve">Envío posterior de acuerdos y principales contenidos tratados las personas asistentes.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8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