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r w:rsidDel="00000000" w:rsidR="00000000" w:rsidRPr="00000000">
        <w:rPr>
          <w:color w:val="ffffff"/>
          <w:shd w:fill="30358c" w:val="clear"/>
          <w:rtl w:val="0"/>
        </w:rPr>
        <w:t xml:space="preserve">FICHA N°15:</w:t>
      </w:r>
      <w:r w:rsidDel="00000000" w:rsidR="00000000" w:rsidRPr="00000000">
        <w:rPr>
          <w:rtl w:val="0"/>
        </w:rPr>
        <w:t xml:space="preserve"> MODELO DE INFORME FINAL DE CONSULTA INDÍGENA Y TRIBAL</w:t>
      </w:r>
    </w:p>
    <w:p w:rsidR="00000000" w:rsidDel="00000000" w:rsidP="00000000" w:rsidRDefault="00000000" w:rsidRPr="00000000" w14:paraId="00000002">
      <w:pPr>
        <w:pStyle w:val="Heading2"/>
        <w:widowControl w:val="0"/>
        <w:spacing w:after="0" w:before="0" w:line="275" w:lineRule="auto"/>
        <w:jc w:val="left"/>
        <w:rPr/>
      </w:pPr>
      <w:bookmarkStart w:colFirst="0" w:colLast="0" w:name="_ftiz4780h79l" w:id="0"/>
      <w:bookmarkEnd w:id="0"/>
      <w:r w:rsidDel="00000000" w:rsidR="00000000" w:rsidRPr="00000000">
        <w:rPr>
          <w:rtl w:val="0"/>
        </w:rPr>
        <w:t xml:space="preserve">1. OBJETIVO:</w:t>
      </w:r>
    </w:p>
    <w:p w:rsidR="00000000" w:rsidDel="00000000" w:rsidP="00000000" w:rsidRDefault="00000000" w:rsidRPr="00000000" w14:paraId="00000003">
      <w:pPr>
        <w:rPr/>
      </w:pPr>
      <w:r w:rsidDel="00000000" w:rsidR="00000000" w:rsidRPr="00000000">
        <w:rPr>
          <w:rtl w:val="0"/>
        </w:rPr>
        <w:t xml:space="preserve">Sistematizar de manera integral el proceso de Consulta Indígena y Tribal, consolidando los antecedentes de procedencia, el desarrollo de cada una de sus etapas, los estándares cumplidos y el resultado final del proceso (acuerdos, desacuerdos y compromisos), como insumo para la toma de decisión administrativa por parte de la autoridad competente.</w:t>
      </w:r>
    </w:p>
    <w:p w:rsidR="00000000" w:rsidDel="00000000" w:rsidP="00000000" w:rsidRDefault="00000000" w:rsidRPr="00000000" w14:paraId="00000004">
      <w:pPr>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75"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pStyle w:val="Heading2"/>
        <w:widowControl w:val="0"/>
        <w:spacing w:after="0" w:before="0" w:line="275" w:lineRule="auto"/>
        <w:jc w:val="left"/>
        <w:rPr/>
      </w:pPr>
      <w:bookmarkStart w:colFirst="0" w:colLast="0" w:name="_2wycnlhsp3ey" w:id="1"/>
      <w:bookmarkEnd w:id="1"/>
      <w:r w:rsidDel="00000000" w:rsidR="00000000" w:rsidRPr="00000000">
        <w:rPr>
          <w:rtl w:val="0"/>
        </w:rPr>
        <w:t xml:space="preserve">2. DESCRIPCIÓN:</w:t>
      </w:r>
    </w:p>
    <w:p w:rsidR="00000000" w:rsidDel="00000000" w:rsidP="00000000" w:rsidRDefault="00000000" w:rsidRPr="00000000" w14:paraId="00000006">
      <w:pPr>
        <w:rPr/>
      </w:pPr>
      <w:r w:rsidDel="00000000" w:rsidR="00000000" w:rsidRPr="00000000">
        <w:rPr>
          <w:rtl w:val="0"/>
        </w:rPr>
        <w:t xml:space="preserve">Herramienta que establece una estructura estándar para la elaboración del Informe Final de Consulta Indígena y Tribal, permitiendo ordenar y presentar de forma clara, trazable y verificable todos los antecedentes del proceso.</w:t>
      </w:r>
    </w:p>
    <w:p w:rsidR="00000000" w:rsidDel="00000000" w:rsidP="00000000" w:rsidRDefault="00000000" w:rsidRPr="00000000" w14:paraId="00000007">
      <w:pPr>
        <w:rPr/>
      </w:pPr>
      <w:r w:rsidDel="00000000" w:rsidR="00000000" w:rsidRPr="00000000">
        <w:rPr>
          <w:rtl w:val="0"/>
        </w:rPr>
        <w:t xml:space="preserve">El informe debe incorporar, al menos, los antecedentes generales del proyecto, la justificación de la procedencia de la consulta, la descripción detallada de cada una de las etapas desarrolladas, las actas correspondientes, los acuerdos y desacuerdos alcanzados, los compromisos asumidos por el proyecto y los mecanismos de seguimiento definidos.</w:t>
      </w:r>
    </w:p>
    <w:p w:rsidR="00000000" w:rsidDel="00000000" w:rsidP="00000000" w:rsidRDefault="00000000" w:rsidRPr="00000000" w14:paraId="00000008">
      <w:pPr>
        <w:rPr/>
      </w:pPr>
      <w:r w:rsidDel="00000000" w:rsidR="00000000" w:rsidRPr="00000000">
        <w:rPr>
          <w:rtl w:val="0"/>
        </w:rPr>
        <w:t xml:space="preserve">Este instrumento debe dar cuenta explícita del cumplimiento de los estándares establecidos en el Decreto Supremo N°66 y el Decreto Supremo N°12 del Ministerio de Desarrollo Social y Familia, así como de los principios de buena fe, diálogo intercultural, transparencia y debida diligencia del Estado.</w:t>
      </w:r>
    </w:p>
    <w:p w:rsidR="00000000" w:rsidDel="00000000" w:rsidP="00000000" w:rsidRDefault="00000000" w:rsidRPr="00000000" w14:paraId="00000009">
      <w:pPr>
        <w:pStyle w:val="Heading2"/>
        <w:widowControl w:val="0"/>
        <w:spacing w:after="240" w:before="0" w:line="275" w:lineRule="auto"/>
        <w:jc w:val="left"/>
        <w:rPr/>
      </w:pPr>
      <w:bookmarkStart w:colFirst="0" w:colLast="0" w:name="_r7hjmivwq6du" w:id="2"/>
      <w:bookmarkEnd w:id="2"/>
      <w:r w:rsidDel="00000000" w:rsidR="00000000" w:rsidRPr="00000000">
        <w:rPr>
          <w:rtl w:val="0"/>
        </w:rPr>
        <w:t xml:space="preserve">3. ESTRUCTURA DEL INFORME </w:t>
      </w:r>
    </w:p>
    <w:p w:rsidR="00000000" w:rsidDel="00000000" w:rsidP="00000000" w:rsidRDefault="00000000" w:rsidRPr="00000000" w14:paraId="0000000A">
      <w:pPr>
        <w:rPr>
          <w:b w:val="1"/>
          <w:bCs w:val="1"/>
        </w:rPr>
      </w:pPr>
      <w:r w:rsidDel="00000000" w:rsidR="00000000" w:rsidRPr="00000000">
        <w:rPr>
          <w:b w:val="1"/>
          <w:bCs w:val="1"/>
          <w:rtl w:val="0"/>
        </w:rPr>
        <w:t xml:space="preserve">(Lista de verificación de contenidos obligatorios):</w:t>
      </w:r>
    </w:p>
    <w:p w:rsidR="00000000" w:rsidDel="00000000" w:rsidP="00000000" w:rsidRDefault="00000000" w:rsidRPr="00000000" w14:paraId="0000000B">
      <w:pPr>
        <w:pStyle w:val="Heading3"/>
        <w:widowControl w:val="0"/>
        <w:spacing w:after="120" w:before="0" w:line="275" w:lineRule="auto"/>
        <w:jc w:val="left"/>
        <w:rPr/>
      </w:pPr>
      <w:bookmarkStart w:colFirst="0" w:colLast="0" w:name="_19cdjdu96150" w:id="3"/>
      <w:bookmarkEnd w:id="3"/>
      <w:r w:rsidDel="00000000" w:rsidR="00000000" w:rsidRPr="00000000">
        <w:rPr>
          <w:rtl w:val="0"/>
        </w:rPr>
        <w:t xml:space="preserve">I. RESUMEN EJECUTIVO</w:t>
      </w:r>
    </w:p>
    <w:p w:rsidR="00000000" w:rsidDel="00000000" w:rsidP="00000000" w:rsidRDefault="00000000" w:rsidRPr="00000000" w14:paraId="0000000C">
      <w:pPr>
        <w:numPr>
          <w:ilvl w:val="0"/>
          <w:numId w:val="5"/>
        </w:numPr>
        <w:ind w:left="465" w:hanging="360"/>
      </w:pPr>
      <w:r w:rsidDel="00000000" w:rsidR="00000000" w:rsidRPr="00000000">
        <w:rPr>
          <w:rtl w:val="0"/>
        </w:rPr>
        <w:t xml:space="preserve">Síntesis de la Medida Consultada (Proyecto del MOP).</w:t>
      </w:r>
    </w:p>
    <w:p w:rsidR="00000000" w:rsidDel="00000000" w:rsidP="00000000" w:rsidRDefault="00000000" w:rsidRPr="00000000" w14:paraId="0000000D">
      <w:pPr>
        <w:numPr>
          <w:ilvl w:val="0"/>
          <w:numId w:val="5"/>
        </w:numPr>
        <w:ind w:left="465" w:hanging="360"/>
      </w:pPr>
      <w:r w:rsidDel="00000000" w:rsidR="00000000" w:rsidRPr="00000000">
        <w:rPr>
          <w:rtl w:val="0"/>
        </w:rPr>
        <w:t xml:space="preserve">Principales hitos del proceso de Consulta </w:t>
      </w:r>
    </w:p>
    <w:p w:rsidR="00000000" w:rsidDel="00000000" w:rsidP="00000000" w:rsidRDefault="00000000" w:rsidRPr="00000000" w14:paraId="0000000E">
      <w:pPr>
        <w:numPr>
          <w:ilvl w:val="0"/>
          <w:numId w:val="5"/>
        </w:numPr>
        <w:ind w:left="465" w:hanging="360"/>
      </w:pPr>
      <w:r w:rsidDel="00000000" w:rsidR="00000000" w:rsidRPr="00000000">
        <w:rPr>
          <w:rtl w:val="0"/>
        </w:rPr>
        <w:t xml:space="preserve">Resumen de Acuerdos y Desacuerdos finales.</w:t>
      </w:r>
    </w:p>
    <w:p w:rsidR="00000000" w:rsidDel="00000000" w:rsidP="00000000" w:rsidRDefault="00000000" w:rsidRPr="00000000" w14:paraId="0000000F">
      <w:pPr>
        <w:pStyle w:val="Heading3"/>
        <w:widowControl w:val="0"/>
        <w:spacing w:after="120" w:before="240" w:line="275" w:lineRule="auto"/>
        <w:jc w:val="left"/>
        <w:rPr/>
      </w:pPr>
      <w:bookmarkStart w:colFirst="0" w:colLast="0" w:name="_yg7merug4062" w:id="4"/>
      <w:bookmarkEnd w:id="4"/>
      <w:r w:rsidDel="00000000" w:rsidR="00000000" w:rsidRPr="00000000">
        <w:rPr>
          <w:rtl w:val="0"/>
        </w:rPr>
        <w:t xml:space="preserve">II. ANTECEDENTES Y PROCEDENCIA</w:t>
      </w:r>
    </w:p>
    <w:p w:rsidR="00000000" w:rsidDel="00000000" w:rsidP="00000000" w:rsidRDefault="00000000" w:rsidRPr="00000000" w14:paraId="00000010">
      <w:pPr>
        <w:numPr>
          <w:ilvl w:val="0"/>
          <w:numId w:val="1"/>
        </w:numPr>
        <w:ind w:left="465" w:hanging="360"/>
      </w:pPr>
      <w:r w:rsidDel="00000000" w:rsidR="00000000" w:rsidRPr="00000000">
        <w:rPr>
          <w:rtl w:val="0"/>
        </w:rPr>
        <w:t xml:space="preserve">Antecedentes generales del proyecto</w:t>
      </w:r>
    </w:p>
    <w:p w:rsidR="00000000" w:rsidDel="00000000" w:rsidP="00000000" w:rsidRDefault="00000000" w:rsidRPr="00000000" w14:paraId="00000011">
      <w:pPr>
        <w:numPr>
          <w:ilvl w:val="0"/>
          <w:numId w:val="1"/>
        </w:numPr>
        <w:ind w:left="465" w:hanging="360"/>
      </w:pPr>
      <w:r w:rsidDel="00000000" w:rsidR="00000000" w:rsidRPr="00000000">
        <w:rPr>
          <w:rtl w:val="0"/>
        </w:rPr>
        <w:t xml:space="preserve">Análisis de Procedencia de la Consulta (Afectación Directa).</w:t>
      </w:r>
    </w:p>
    <w:p w:rsidR="00000000" w:rsidDel="00000000" w:rsidP="00000000" w:rsidRDefault="00000000" w:rsidRPr="00000000" w14:paraId="00000012">
      <w:pPr>
        <w:numPr>
          <w:ilvl w:val="0"/>
          <w:numId w:val="1"/>
        </w:numPr>
        <w:ind w:left="465" w:hanging="360"/>
      </w:pPr>
      <w:r w:rsidDel="00000000" w:rsidR="00000000" w:rsidRPr="00000000">
        <w:rPr>
          <w:rtl w:val="0"/>
        </w:rPr>
        <w:t xml:space="preserve">Identificación de los Pueblos, comunidades y asociaciones participantes.</w:t>
      </w:r>
    </w:p>
    <w:p w:rsidR="00000000" w:rsidDel="00000000" w:rsidP="00000000" w:rsidRDefault="00000000" w:rsidRPr="00000000" w14:paraId="00000013">
      <w:pPr>
        <w:numPr>
          <w:ilvl w:val="0"/>
          <w:numId w:val="1"/>
        </w:numPr>
        <w:ind w:left="465" w:hanging="360"/>
      </w:pPr>
      <w:r w:rsidDel="00000000" w:rsidR="00000000" w:rsidRPr="00000000">
        <w:rPr>
          <w:i w:val="1"/>
          <w:iCs w:val="1"/>
          <w:rtl w:val="0"/>
        </w:rPr>
        <w:t xml:space="preserve">Enfoque de Género: </w:t>
      </w:r>
      <w:r w:rsidDel="00000000" w:rsidR="00000000" w:rsidRPr="00000000">
        <w:rPr>
          <w:rtl w:val="0"/>
        </w:rPr>
        <w:t xml:space="preserve">Descripción de la participación de mujeres indígenas y/o tribales en el proceso.</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auto" w:val="clear"/>
        <w:spacing w:after="240" w:before="240" w:line="275" w:lineRule="auto"/>
        <w:jc w:val="left"/>
        <w:rPr>
          <w:rFonts w:ascii="Calibri" w:cs="Calibri" w:eastAsia="Calibri" w:hAnsi="Calibri"/>
          <w:b w:val="1"/>
          <w:bCs w:val="1"/>
          <w:color w:val="1f1f1f"/>
          <w:sz w:val="22"/>
          <w:szCs w:val="22"/>
        </w:rPr>
      </w:pPr>
      <w:r w:rsidDel="00000000" w:rsidR="00000000" w:rsidRPr="00000000">
        <w:rPr>
          <w:rtl w:val="0"/>
        </w:rPr>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auto" w:val="clear"/>
        <w:spacing w:after="240" w:before="0" w:line="240" w:lineRule="auto"/>
        <w:jc w:val="left"/>
        <w:rPr/>
      </w:pPr>
      <w:r w:rsidDel="00000000" w:rsidR="00000000" w:rsidRPr="00000000">
        <w:br w:type="page"/>
      </w:r>
      <w:r w:rsidDel="00000000" w:rsidR="00000000" w:rsidRPr="00000000">
        <w:rPr>
          <w:rtl w:val="0"/>
        </w:rPr>
        <w:t xml:space="preserve">III. DESARROLLO DEL PROCESO (Por etapa)</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90"/>
        <w:gridCol w:w="3585"/>
        <w:gridCol w:w="3585"/>
        <w:tblGridChange w:id="0">
          <w:tblGrid>
            <w:gridCol w:w="2190"/>
            <w:gridCol w:w="3585"/>
            <w:gridCol w:w="358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6">
            <w:pPr>
              <w:spacing w:after="0" w:before="0" w:line="240" w:lineRule="auto"/>
              <w:jc w:val="left"/>
              <w:rPr>
                <w:b w:val="1"/>
                <w:bCs w:val="1"/>
                <w:color w:val="ffffff"/>
                <w:sz w:val="18"/>
                <w:szCs w:val="18"/>
              </w:rPr>
            </w:pPr>
            <w:r w:rsidDel="00000000" w:rsidR="00000000" w:rsidRPr="00000000">
              <w:rPr>
                <w:b w:val="1"/>
                <w:bCs w:val="1"/>
                <w:color w:val="ffffff"/>
                <w:sz w:val="18"/>
                <w:szCs w:val="18"/>
                <w:rtl w:val="0"/>
              </w:rPr>
              <w:t xml:space="preserve">ETAPA</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7">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HITOS A REPORTAR</w:t>
            </w:r>
          </w:p>
        </w:tc>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8">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MEDIOS DE VERIFICACIÓN (Anexos)</w:t>
            </w:r>
          </w:p>
        </w:tc>
      </w:tr>
      <w:tr>
        <w:trPr>
          <w:cantSplit w:val="0"/>
          <w:tblHeader w:val="0"/>
        </w:trPr>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9">
            <w:pPr>
              <w:spacing w:after="0" w:before="0" w:line="240" w:lineRule="auto"/>
              <w:jc w:val="left"/>
              <w:rPr>
                <w:b w:val="1"/>
                <w:bCs w:val="1"/>
                <w:sz w:val="18"/>
                <w:szCs w:val="18"/>
              </w:rPr>
            </w:pPr>
            <w:r w:rsidDel="00000000" w:rsidR="00000000" w:rsidRPr="00000000">
              <w:rPr>
                <w:b w:val="1"/>
                <w:bCs w:val="1"/>
                <w:sz w:val="18"/>
                <w:szCs w:val="18"/>
                <w:rtl w:val="0"/>
              </w:rPr>
              <w:t xml:space="preserve">1. Planificación</w:t>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A">
            <w:pPr>
              <w:spacing w:after="0" w:before="0" w:line="240" w:lineRule="auto"/>
              <w:rPr>
                <w:sz w:val="18"/>
                <w:szCs w:val="18"/>
              </w:rPr>
            </w:pPr>
            <w:r w:rsidDel="00000000" w:rsidR="00000000" w:rsidRPr="00000000">
              <w:rPr>
                <w:sz w:val="18"/>
                <w:szCs w:val="18"/>
                <w:rtl w:val="0"/>
              </w:rPr>
              <w:t xml:space="preserve">Acuerdos metodológicos, definición de intervinientes, plazos y cronograma del proceso.</w:t>
            </w:r>
          </w:p>
        </w:tc>
        <w:tc>
          <w:tcPr>
            <w:tcBorders>
              <w:top w:color="ffffff"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B">
            <w:pPr>
              <w:spacing w:after="0" w:before="0" w:line="240" w:lineRule="auto"/>
              <w:rPr>
                <w:sz w:val="18"/>
                <w:szCs w:val="18"/>
              </w:rPr>
            </w:pPr>
            <w:r w:rsidDel="00000000" w:rsidR="00000000" w:rsidRPr="00000000">
              <w:rPr>
                <w:sz w:val="18"/>
                <w:szCs w:val="18"/>
                <w:rtl w:val="0"/>
              </w:rPr>
              <w:t xml:space="preserve">Actas de Planificación, Listas de Asistencia.</w:t>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C">
            <w:pPr>
              <w:spacing w:after="0" w:before="0" w:line="240" w:lineRule="auto"/>
              <w:jc w:val="left"/>
              <w:rPr>
                <w:b w:val="1"/>
                <w:bCs w:val="1"/>
                <w:sz w:val="18"/>
                <w:szCs w:val="18"/>
              </w:rPr>
            </w:pPr>
            <w:r w:rsidDel="00000000" w:rsidR="00000000" w:rsidRPr="00000000">
              <w:rPr>
                <w:b w:val="1"/>
                <w:bCs w:val="1"/>
                <w:sz w:val="18"/>
                <w:szCs w:val="18"/>
                <w:rtl w:val="0"/>
              </w:rPr>
              <w:t xml:space="preserve">2. Información</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D">
            <w:pPr>
              <w:spacing w:after="0" w:before="0" w:line="240" w:lineRule="auto"/>
              <w:rPr>
                <w:sz w:val="18"/>
                <w:szCs w:val="18"/>
              </w:rPr>
            </w:pPr>
            <w:r w:rsidDel="00000000" w:rsidR="00000000" w:rsidRPr="00000000">
              <w:rPr>
                <w:sz w:val="18"/>
                <w:szCs w:val="18"/>
                <w:rtl w:val="0"/>
              </w:rPr>
              <w:t xml:space="preserve">Descripción de las instancias realizadas para la entrega de información. Contenidos técnicos abordados. Pertinencia cultural de las actividades y materiales entregados.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E">
            <w:pPr>
              <w:spacing w:after="0" w:before="0" w:line="240" w:lineRule="auto"/>
              <w:rPr>
                <w:sz w:val="18"/>
                <w:szCs w:val="18"/>
              </w:rPr>
            </w:pPr>
            <w:r w:rsidDel="00000000" w:rsidR="00000000" w:rsidRPr="00000000">
              <w:rPr>
                <w:sz w:val="18"/>
                <w:szCs w:val="18"/>
                <w:rtl w:val="0"/>
              </w:rPr>
              <w:t xml:space="preserve">Actas de entrega de información, Dossier informativo.</w:t>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F">
            <w:pPr>
              <w:spacing w:after="0" w:before="0" w:line="240" w:lineRule="auto"/>
              <w:jc w:val="left"/>
              <w:rPr>
                <w:b w:val="1"/>
                <w:bCs w:val="1"/>
                <w:sz w:val="18"/>
                <w:szCs w:val="18"/>
              </w:rPr>
            </w:pPr>
            <w:r w:rsidDel="00000000" w:rsidR="00000000" w:rsidRPr="00000000">
              <w:rPr>
                <w:b w:val="1"/>
                <w:bCs w:val="1"/>
                <w:sz w:val="18"/>
                <w:szCs w:val="18"/>
                <w:rtl w:val="0"/>
              </w:rPr>
              <w:t xml:space="preserve">3. Deliberación</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0">
            <w:pPr>
              <w:spacing w:after="0" w:before="0" w:line="240" w:lineRule="auto"/>
              <w:rPr>
                <w:sz w:val="18"/>
                <w:szCs w:val="18"/>
              </w:rPr>
            </w:pPr>
            <w:r w:rsidDel="00000000" w:rsidR="00000000" w:rsidRPr="00000000">
              <w:rPr>
                <w:sz w:val="18"/>
                <w:szCs w:val="18"/>
                <w:rtl w:val="0"/>
              </w:rPr>
              <w:t xml:space="preserve">Descripción de tiempos y apoyos técnicos otorgados para el análisis interno.</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1">
            <w:pPr>
              <w:spacing w:after="0" w:before="0" w:line="240" w:lineRule="auto"/>
              <w:rPr>
                <w:sz w:val="18"/>
                <w:szCs w:val="18"/>
              </w:rPr>
            </w:pPr>
            <w:r w:rsidDel="00000000" w:rsidR="00000000" w:rsidRPr="00000000">
              <w:rPr>
                <w:sz w:val="18"/>
                <w:szCs w:val="18"/>
                <w:rtl w:val="0"/>
              </w:rPr>
              <w:t xml:space="preserve">Actas de deliberación, Hito de Cierre de Deliberación (o carta).</w:t>
            </w:r>
          </w:p>
        </w:tc>
      </w:tr>
      <w:tr>
        <w:trPr>
          <w:cantSplit w:val="0"/>
          <w:tblHeader w:val="0"/>
        </w:trPr>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2">
            <w:pPr>
              <w:spacing w:after="0" w:before="0" w:line="240" w:lineRule="auto"/>
              <w:jc w:val="left"/>
              <w:rPr>
                <w:b w:val="1"/>
                <w:bCs w:val="1"/>
                <w:sz w:val="18"/>
                <w:szCs w:val="18"/>
              </w:rPr>
            </w:pPr>
            <w:r w:rsidDel="00000000" w:rsidR="00000000" w:rsidRPr="00000000">
              <w:rPr>
                <w:b w:val="1"/>
                <w:bCs w:val="1"/>
                <w:sz w:val="18"/>
                <w:szCs w:val="18"/>
                <w:rtl w:val="0"/>
              </w:rPr>
              <w:t xml:space="preserve">4. Diálogo</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3">
            <w:pPr>
              <w:spacing w:after="0" w:before="0" w:line="240" w:lineRule="auto"/>
              <w:rPr>
                <w:sz w:val="18"/>
                <w:szCs w:val="18"/>
              </w:rPr>
            </w:pPr>
            <w:r w:rsidDel="00000000" w:rsidR="00000000" w:rsidRPr="00000000">
              <w:rPr>
                <w:sz w:val="18"/>
                <w:szCs w:val="18"/>
                <w:rtl w:val="0"/>
              </w:rPr>
              <w:t xml:space="preserve">Sistematización del intercambio de posturas frente a la medida, acercamientos y nudos críticos.</w:t>
            </w:r>
          </w:p>
        </w:tc>
        <w:tc>
          <w:tcPr>
            <w:tcBorders>
              <w:top w:color="30358c" w:space="0" w:sz="4" w:val="single"/>
              <w:left w:color="30358c"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24">
            <w:pPr>
              <w:spacing w:after="0" w:before="0" w:line="240" w:lineRule="auto"/>
              <w:rPr>
                <w:sz w:val="18"/>
                <w:szCs w:val="18"/>
              </w:rPr>
            </w:pPr>
            <w:r w:rsidDel="00000000" w:rsidR="00000000" w:rsidRPr="00000000">
              <w:rPr>
                <w:sz w:val="18"/>
                <w:szCs w:val="18"/>
                <w:rtl w:val="0"/>
              </w:rPr>
              <w:t xml:space="preserve">Actas de Diálogo, Matrices de Acuerdos.</w:t>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Pr>
          <w:p w:rsidR="00000000" w:rsidDel="00000000" w:rsidP="00000000" w:rsidRDefault="00000000" w:rsidRPr="00000000" w14:paraId="00000025">
            <w:pPr>
              <w:spacing w:after="0" w:before="0" w:line="240" w:lineRule="auto"/>
              <w:jc w:val="left"/>
              <w:rPr>
                <w:b w:val="1"/>
                <w:bCs w:val="1"/>
                <w:sz w:val="18"/>
                <w:szCs w:val="18"/>
              </w:rPr>
            </w:pPr>
            <w:r w:rsidDel="00000000" w:rsidR="00000000" w:rsidRPr="00000000">
              <w:rPr>
                <w:b w:val="1"/>
                <w:bCs w:val="1"/>
                <w:sz w:val="18"/>
                <w:szCs w:val="18"/>
                <w:rtl w:val="0"/>
              </w:rPr>
              <w:t xml:space="preserve"> 5. Sistematización y comunicación de resultados</w:t>
            </w:r>
          </w:p>
          <w:p w:rsidR="00000000" w:rsidDel="00000000" w:rsidP="00000000" w:rsidRDefault="00000000" w:rsidRPr="00000000" w14:paraId="00000026">
            <w:pPr>
              <w:spacing w:after="0" w:before="0" w:line="240" w:lineRule="auto"/>
              <w:jc w:val="left"/>
              <w:rPr>
                <w:b w:val="1"/>
                <w:bCs w:val="1"/>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Pr>
          <w:p w:rsidR="00000000" w:rsidDel="00000000" w:rsidP="00000000" w:rsidRDefault="00000000" w:rsidRPr="00000000" w14:paraId="00000027">
            <w:pPr>
              <w:spacing w:after="0" w:before="0" w:line="240" w:lineRule="auto"/>
              <w:rPr>
                <w:sz w:val="18"/>
                <w:szCs w:val="18"/>
              </w:rPr>
            </w:pPr>
            <w:r w:rsidDel="00000000" w:rsidR="00000000" w:rsidRPr="00000000">
              <w:rPr>
                <w:rtl w:val="0"/>
              </w:rPr>
            </w:r>
          </w:p>
          <w:p w:rsidR="00000000" w:rsidDel="00000000" w:rsidP="00000000" w:rsidRDefault="00000000" w:rsidRPr="00000000" w14:paraId="00000028">
            <w:pPr>
              <w:spacing w:after="0" w:before="0" w:line="240" w:lineRule="auto"/>
              <w:rPr>
                <w:sz w:val="18"/>
                <w:szCs w:val="18"/>
              </w:rPr>
            </w:pPr>
            <w:r w:rsidDel="00000000" w:rsidR="00000000" w:rsidRPr="00000000">
              <w:rPr>
                <w:sz w:val="18"/>
                <w:szCs w:val="18"/>
                <w:rtl w:val="0"/>
              </w:rPr>
              <w:t xml:space="preserve">Síntesis detallada del proceso de Consulta llevado a cabo con sus etapas, con los acuerdos alcanzados y la explicación fundada de los disensos producidos.</w:t>
            </w:r>
          </w:p>
          <w:p w:rsidR="00000000" w:rsidDel="00000000" w:rsidP="00000000" w:rsidRDefault="00000000" w:rsidRPr="00000000" w14:paraId="00000029">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Pr>
          <w:p w:rsidR="00000000" w:rsidDel="00000000" w:rsidP="00000000" w:rsidRDefault="00000000" w:rsidRPr="00000000" w14:paraId="0000002A">
            <w:pPr>
              <w:spacing w:after="0" w:before="0" w:line="240" w:lineRule="auto"/>
              <w:rPr>
                <w:sz w:val="18"/>
                <w:szCs w:val="18"/>
              </w:rPr>
            </w:pPr>
            <w:r w:rsidDel="00000000" w:rsidR="00000000" w:rsidRPr="00000000">
              <w:rPr>
                <w:rtl w:val="0"/>
              </w:rPr>
            </w:r>
          </w:p>
          <w:p w:rsidR="00000000" w:rsidDel="00000000" w:rsidP="00000000" w:rsidRDefault="00000000" w:rsidRPr="00000000" w14:paraId="0000002B">
            <w:pPr>
              <w:spacing w:after="0" w:before="0" w:line="240" w:lineRule="auto"/>
              <w:rPr>
                <w:sz w:val="18"/>
                <w:szCs w:val="18"/>
              </w:rPr>
            </w:pPr>
            <w:r w:rsidDel="00000000" w:rsidR="00000000" w:rsidRPr="00000000">
              <w:rPr>
                <w:sz w:val="18"/>
                <w:szCs w:val="18"/>
                <w:rtl w:val="0"/>
              </w:rPr>
              <w:t xml:space="preserve">Acta de entrega y publicación informe final. </w:t>
            </w:r>
          </w:p>
        </w:tc>
      </w:tr>
    </w:tbl>
    <w:p w:rsidR="00000000" w:rsidDel="00000000" w:rsidP="00000000" w:rsidRDefault="00000000" w:rsidRPr="00000000" w14:paraId="0000002C">
      <w:pPr>
        <w:pStyle w:val="Heading3"/>
        <w:widowControl w:val="0"/>
        <w:spacing w:after="120" w:before="480" w:line="275" w:lineRule="auto"/>
        <w:jc w:val="left"/>
        <w:rPr/>
      </w:pPr>
      <w:bookmarkStart w:colFirst="0" w:colLast="0" w:name="_tbfjsa3k6i0h" w:id="5"/>
      <w:bookmarkEnd w:id="5"/>
      <w:r w:rsidDel="00000000" w:rsidR="00000000" w:rsidRPr="00000000">
        <w:rPr>
          <w:rtl w:val="0"/>
        </w:rPr>
        <w:t xml:space="preserve">IV. ANÁLISIS DE RESULTADOS</w:t>
      </w:r>
    </w:p>
    <w:p w:rsidR="00000000" w:rsidDel="00000000" w:rsidP="00000000" w:rsidRDefault="00000000" w:rsidRPr="00000000" w14:paraId="0000002D">
      <w:pPr>
        <w:numPr>
          <w:ilvl w:val="0"/>
          <w:numId w:val="2"/>
        </w:numPr>
        <w:ind w:left="465" w:hanging="360"/>
      </w:pPr>
      <w:r w:rsidDel="00000000" w:rsidR="00000000" w:rsidRPr="00000000">
        <w:rPr>
          <w:b w:val="1"/>
          <w:bCs w:val="1"/>
          <w:rtl w:val="0"/>
        </w:rPr>
        <w:t xml:space="preserve">Matriz de Acuerdos Totales: </w:t>
      </w:r>
      <w:r w:rsidDel="00000000" w:rsidR="00000000" w:rsidRPr="00000000">
        <w:rPr>
          <w:rtl w:val="0"/>
        </w:rPr>
        <w:t xml:space="preserve">Detalle de las modificaciones al proyecto acordadas.</w:t>
      </w:r>
    </w:p>
    <w:p w:rsidR="00000000" w:rsidDel="00000000" w:rsidP="00000000" w:rsidRDefault="00000000" w:rsidRPr="00000000" w14:paraId="0000002E">
      <w:pPr>
        <w:numPr>
          <w:ilvl w:val="0"/>
          <w:numId w:val="2"/>
        </w:numPr>
        <w:ind w:left="465" w:hanging="360"/>
      </w:pPr>
      <w:r w:rsidDel="00000000" w:rsidR="00000000" w:rsidRPr="00000000">
        <w:rPr>
          <w:b w:val="1"/>
          <w:bCs w:val="1"/>
          <w:rtl w:val="0"/>
        </w:rPr>
        <w:t xml:space="preserve">Matriz de Desacuerdos:</w:t>
      </w:r>
      <w:r w:rsidDel="00000000" w:rsidR="00000000" w:rsidRPr="00000000">
        <w:rPr>
          <w:rtl w:val="0"/>
        </w:rPr>
        <w:t xml:space="preserve"> Puntos donde no se logró consenso y fundamento de la decisión final del MOP.</w:t>
      </w:r>
    </w:p>
    <w:p w:rsidR="00000000" w:rsidDel="00000000" w:rsidP="00000000" w:rsidRDefault="00000000" w:rsidRPr="00000000" w14:paraId="0000002F">
      <w:pPr>
        <w:numPr>
          <w:ilvl w:val="0"/>
          <w:numId w:val="2"/>
        </w:numPr>
        <w:ind w:left="465" w:hanging="360"/>
      </w:pPr>
      <w:r w:rsidDel="00000000" w:rsidR="00000000" w:rsidRPr="00000000">
        <w:rPr>
          <w:b w:val="1"/>
          <w:bCs w:val="1"/>
          <w:rtl w:val="0"/>
        </w:rPr>
        <w:t xml:space="preserve">Medidas de Mitigación / Compensación / Reparación: </w:t>
      </w:r>
      <w:r w:rsidDel="00000000" w:rsidR="00000000" w:rsidRPr="00000000">
        <w:rPr>
          <w:rtl w:val="0"/>
        </w:rPr>
        <w:t xml:space="preserve">(Si aplica).</w:t>
      </w:r>
    </w:p>
    <w:p w:rsidR="00000000" w:rsidDel="00000000" w:rsidP="00000000" w:rsidRDefault="00000000" w:rsidRPr="00000000" w14:paraId="00000030">
      <w:pPr>
        <w:pStyle w:val="Heading3"/>
        <w:widowControl w:val="0"/>
        <w:spacing w:after="120" w:before="240" w:line="275" w:lineRule="auto"/>
        <w:jc w:val="left"/>
        <w:rPr/>
      </w:pPr>
      <w:bookmarkStart w:colFirst="0" w:colLast="0" w:name="_s500z305gwt" w:id="6"/>
      <w:bookmarkEnd w:id="6"/>
      <w:r w:rsidDel="00000000" w:rsidR="00000000" w:rsidRPr="00000000">
        <w:rPr>
          <w:rtl w:val="0"/>
        </w:rPr>
        <w:t xml:space="preserve">V. SEGUIMIENTO Y CUMPLIMIENTO</w:t>
      </w:r>
    </w:p>
    <w:p w:rsidR="00000000" w:rsidDel="00000000" w:rsidP="00000000" w:rsidRDefault="00000000" w:rsidRPr="00000000" w14:paraId="00000031">
      <w:pPr>
        <w:numPr>
          <w:ilvl w:val="0"/>
          <w:numId w:val="3"/>
        </w:numPr>
        <w:ind w:left="465" w:hanging="360"/>
      </w:pPr>
      <w:r w:rsidDel="00000000" w:rsidR="00000000" w:rsidRPr="00000000">
        <w:rPr>
          <w:rtl w:val="0"/>
        </w:rPr>
        <w:t xml:space="preserve">Mecanismos de monitoreo acordados con las comunidades.</w:t>
      </w:r>
    </w:p>
    <w:p w:rsidR="00000000" w:rsidDel="00000000" w:rsidP="00000000" w:rsidRDefault="00000000" w:rsidRPr="00000000" w14:paraId="00000032">
      <w:pPr>
        <w:numPr>
          <w:ilvl w:val="0"/>
          <w:numId w:val="3"/>
        </w:numPr>
        <w:ind w:left="465" w:hanging="360"/>
      </w:pPr>
      <w:r w:rsidDel="00000000" w:rsidR="00000000" w:rsidRPr="00000000">
        <w:rPr>
          <w:rtl w:val="0"/>
        </w:rPr>
        <w:t xml:space="preserve">Cronograma de implementación de acuerdos.</w:t>
      </w:r>
    </w:p>
    <w:p w:rsidR="00000000" w:rsidDel="00000000" w:rsidP="00000000" w:rsidRDefault="00000000" w:rsidRPr="00000000" w14:paraId="00000033">
      <w:pPr>
        <w:pStyle w:val="Heading3"/>
        <w:widowControl w:val="0"/>
        <w:spacing w:after="120" w:before="240" w:line="275" w:lineRule="auto"/>
        <w:jc w:val="left"/>
        <w:rPr/>
      </w:pPr>
      <w:bookmarkStart w:colFirst="0" w:colLast="0" w:name="_b9lkwprj350h" w:id="7"/>
      <w:bookmarkEnd w:id="7"/>
      <w:r w:rsidDel="00000000" w:rsidR="00000000" w:rsidRPr="00000000">
        <w:rPr>
          <w:rtl w:val="0"/>
        </w:rPr>
        <w:t xml:space="preserve">VI. ANEXOS (Expediente)</w:t>
      </w:r>
    </w:p>
    <w:p w:rsidR="00000000" w:rsidDel="00000000" w:rsidP="00000000" w:rsidRDefault="00000000" w:rsidRPr="00000000" w14:paraId="00000034">
      <w:pPr>
        <w:numPr>
          <w:ilvl w:val="0"/>
          <w:numId w:val="4"/>
        </w:numPr>
        <w:ind w:left="465" w:hanging="360"/>
      </w:pPr>
      <w:r w:rsidDel="00000000" w:rsidR="00000000" w:rsidRPr="00000000">
        <w:rPr>
          <w:rtl w:val="0"/>
        </w:rPr>
        <w:t xml:space="preserve">Copia íntegra de Actas, Listas de Asistencia, Grabaciones (si fueron autorizadas) y Oficios.</w:t>
      </w:r>
      <w:r w:rsidDel="00000000" w:rsidR="00000000" w:rsidRPr="00000000">
        <w:rPr>
          <w:rtl w:val="0"/>
        </w:rPr>
      </w:r>
    </w:p>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hd w:fill="auto" w:val="clear"/>
        <w:spacing w:after="240" w:before="240" w:line="480" w:lineRule="auto"/>
        <w:jc w:val="left"/>
        <w:rPr>
          <w:rFonts w:ascii="Calibri" w:cs="Calibri" w:eastAsia="Calibri" w:hAnsi="Calibri"/>
          <w:b w:val="1"/>
          <w:bCs w:val="1"/>
          <w:color w:val="1f1f1f"/>
          <w:sz w:val="22"/>
          <w:szCs w:val="22"/>
        </w:rPr>
      </w:pPr>
      <w:bookmarkStart w:colFirst="0" w:colLast="0" w:name="_hbb6g3u9oinq" w:id="8"/>
      <w:bookmarkEnd w:id="8"/>
      <w:r w:rsidDel="00000000" w:rsidR="00000000" w:rsidRPr="00000000">
        <w:rPr>
          <w:rtl w:val="0"/>
        </w:rPr>
      </w:r>
    </w:p>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hd w:fill="auto" w:val="clear"/>
        <w:spacing w:after="240" w:before="240" w:line="480" w:lineRule="auto"/>
        <w:jc w:val="left"/>
        <w:rPr/>
      </w:pPr>
      <w:bookmarkStart w:colFirst="0" w:colLast="0" w:name="_4fzgpza59b5y" w:id="9"/>
      <w:bookmarkEnd w:id="9"/>
      <w:r w:rsidDel="00000000" w:rsidR="00000000" w:rsidRPr="00000000">
        <w:rPr>
          <w:rFonts w:ascii="Calibri" w:cs="Calibri" w:eastAsia="Calibri" w:hAnsi="Calibri"/>
          <w:b w:val="1"/>
          <w:bCs w:val="1"/>
          <w:color w:val="1f1f1f"/>
          <w:sz w:val="22"/>
          <w:szCs w:val="22"/>
          <w:rtl w:val="0"/>
        </w:rPr>
        <w:t xml:space="preserve">FIRMA JEFE DE SERVICIO / AUTORIDAD RESPONSABLE:</w:t>
      </w:r>
      <w:r w:rsidDel="00000000" w:rsidR="00000000" w:rsidRPr="00000000">
        <w:rPr>
          <w:rFonts w:ascii="Calibri" w:cs="Calibri" w:eastAsia="Calibri" w:hAnsi="Calibri"/>
          <w:color w:val="1f1f1f"/>
          <w:sz w:val="22"/>
          <w:szCs w:val="22"/>
          <w:rtl w:val="0"/>
        </w:rPr>
        <w:t xml:space="preserve"> __________________________________________________________________________________</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ublic Sa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color w:val="30358c"/>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drawing>
        <wp:inline distB="114300" distT="114300" distL="114300" distR="114300">
          <wp:extent cx="720000" cy="655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000" cy="655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lang w:val="es"/>
      </w:rPr>
    </w:rPrDefault>
    <w:pPrDefault>
      <w:pPr>
        <w:pBdr>
          <w:top w:color="auto" w:space="0" w:sz="0" w:val="none"/>
          <w:left w:color="auto" w:space="0" w:sz="0" w:val="none"/>
          <w:bottom w:color="auto" w:space="0" w:sz="0" w:val="none"/>
          <w:right w:color="auto" w:space="0" w:sz="0" w:val="none"/>
          <w:between w:color="auto" w:space="0" w:sz="0" w:val="none"/>
        </w:pBdr>
        <w:shd w:fill="auto" w:val="clear"/>
        <w:spacing w:after="200" w:before="16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120" w:line="275.9999942779541" w:lineRule="auto"/>
    </w:pPr>
    <w:rPr>
      <w:rFonts w:ascii="Public Sans Medium" w:cs="Public Sans Medium" w:eastAsia="Public Sans Medium" w:hAnsi="Public Sans Medium"/>
      <w:color w:val="30358c"/>
      <w:sz w:val="28"/>
      <w:szCs w:val="28"/>
    </w:rPr>
  </w:style>
  <w:style w:type="paragraph" w:styleId="Heading2">
    <w:name w:val="heading 2"/>
    <w:basedOn w:val="Normal"/>
    <w:next w:val="Normal"/>
    <w:pPr>
      <w:keepNext w:val="1"/>
      <w:keepLines w:val="1"/>
      <w:spacing w:after="0" w:line="240" w:lineRule="auto"/>
    </w:pPr>
    <w:rPr>
      <w:rFonts w:ascii="Public Sans SemiBold" w:cs="Public Sans SemiBold" w:eastAsia="Public Sans SemiBold" w:hAnsi="Public Sans SemiBold"/>
      <w:color w:val="30358c"/>
      <w:sz w:val="22"/>
      <w:szCs w:val="22"/>
    </w:rPr>
  </w:style>
  <w:style w:type="paragraph" w:styleId="Heading3">
    <w:name w:val="heading 3"/>
    <w:basedOn w:val="Normal"/>
    <w:next w:val="Normal"/>
    <w:pPr>
      <w:keepNext w:val="1"/>
      <w:keepLines w:val="1"/>
      <w:spacing w:after="0" w:before="0" w:line="275" w:lineRule="auto"/>
      <w:jc w:val="left"/>
    </w:pPr>
    <w:rPr>
      <w:b w:val="1"/>
      <w:bCs w:val="1"/>
      <w:color w:val="434343"/>
      <w:sz w:val="22"/>
      <w:szCs w:val="22"/>
    </w:rPr>
  </w:style>
  <w:style w:type="paragraph" w:styleId="Heading4">
    <w:name w:val="heading 4"/>
    <w:basedOn w:val="Normal"/>
    <w:next w:val="Normal"/>
    <w:pPr>
      <w:keepNext w:val="1"/>
      <w:keepLines w:val="1"/>
      <w:spacing w:after="240" w:before="240" w:line="240" w:lineRule="auto"/>
      <w:jc w:val="left"/>
    </w:pPr>
    <w:rPr>
      <w:b w:val="1"/>
      <w:bCs w:val="1"/>
      <w:color w:val="30358c"/>
    </w:rPr>
  </w:style>
  <w:style w:type="paragraph" w:styleId="Heading5">
    <w:name w:val="heading 5"/>
    <w:basedOn w:val="Normal"/>
    <w:next w:val="Normal"/>
    <w:pPr>
      <w:keepNext w:val="1"/>
      <w:keepLines w:val="1"/>
      <w:spacing w:after="80" w:before="360" w:lineRule="auto"/>
    </w:pPr>
    <w:rPr>
      <w:b w:val="1"/>
      <w:bCs w:val="1"/>
      <w:color w:val="1155cc"/>
    </w:rPr>
  </w:style>
  <w:style w:type="paragraph" w:styleId="Heading6">
    <w:name w:val="heading 6"/>
    <w:basedOn w:val="Normal"/>
    <w:next w:val="Normal"/>
    <w:pPr>
      <w:keepNext w:val="1"/>
      <w:keepLines w:val="1"/>
      <w:spacing w:after="80" w:before="360" w:lineRule="auto"/>
    </w:pPr>
    <w:rPr>
      <w:color w:val="434343"/>
    </w:rPr>
  </w:style>
  <w:style w:type="paragraph" w:styleId="Title">
    <w:name w:val="Title"/>
    <w:basedOn w:val="Normal"/>
    <w:next w:val="Normal"/>
    <w:pPr>
      <w:keepNext w:val="1"/>
      <w:keepLines w:val="1"/>
      <w:spacing w:after="1200" w:line="312" w:lineRule="auto"/>
    </w:pPr>
    <w:rPr>
      <w:rFonts w:ascii="Public Sans" w:cs="Public Sans" w:eastAsia="Public Sans" w:hAnsi="Public Sans"/>
      <w:color w:val="073763"/>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11" Type="http://schemas.openxmlformats.org/officeDocument/2006/relationships/font" Target="fonts/PublicSansSemiBold-italic.ttf"/><Relationship Id="rId10" Type="http://schemas.openxmlformats.org/officeDocument/2006/relationships/font" Target="fonts/PublicSansSemiBold-bold.ttf"/><Relationship Id="rId12" Type="http://schemas.openxmlformats.org/officeDocument/2006/relationships/font" Target="fonts/PublicSansSemiBold-boldItalic.ttf"/><Relationship Id="rId9" Type="http://schemas.openxmlformats.org/officeDocument/2006/relationships/font" Target="fonts/PublicSansSemiBold-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