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>
          <w:color w:val="30358c"/>
          <w:shd w:fill="auto" w:val="clear"/>
        </w:rPr>
      </w:pPr>
      <w:bookmarkStart w:colFirst="0" w:colLast="0" w:name="_ydhmz0l630gw" w:id="0"/>
      <w:bookmarkEnd w:id="0"/>
      <w:r w:rsidDel="00000000" w:rsidR="00000000" w:rsidRPr="00000000">
        <w:rPr>
          <w:rtl w:val="0"/>
        </w:rPr>
        <w:t xml:space="preserve">FICHA N°4:</w:t>
      </w:r>
      <w:r w:rsidDel="00000000" w:rsidR="00000000" w:rsidRPr="00000000">
        <w:rPr>
          <w:color w:val="30358c"/>
          <w:shd w:fill="auto" w:val="clear"/>
          <w:rtl w:val="0"/>
        </w:rPr>
        <w:t xml:space="preserve"> LISTA DE CHEQUEO DE GESTIÓN PARTICIPATIVA SEGÚN ETAPA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jep1t3itzw3u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Verificar el cumplimiento de los hitos clave de gestión participativa, patrimonial y territorial en cada fase del ciclo de vida del proyecto, asegurando una adecuada planificación, implementación y seguimiento de los procesos de Participación Ciudadana y otros mecanismos de relacionamiento territorial.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12ml4h8ulhta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Herramienta estructurada como una lista de chequeo operativa, orientada a apoyar a la Inspección Fiscal y a los equipos regionales del MOP en la planificación, ejecución y seguimiento de las acciones de gestión participativa, considerando responsables, estado de avance y observaciones relevantes, según la etapa del proyecto.</w:t>
      </w:r>
    </w:p>
    <w:p w:rsidR="00000000" w:rsidDel="00000000" w:rsidP="00000000" w:rsidRDefault="00000000" w:rsidRPr="00000000" w14:paraId="00000006">
      <w:pPr>
        <w:pStyle w:val="Heading2"/>
        <w:spacing w:after="240" w:lineRule="auto"/>
        <w:rPr/>
      </w:pPr>
      <w:bookmarkStart w:colFirst="0" w:colLast="0" w:name="_m3kcwbvdhjr1" w:id="3"/>
      <w:bookmarkEnd w:id="3"/>
      <w:r w:rsidDel="00000000" w:rsidR="00000000" w:rsidRPr="00000000">
        <w:rPr>
          <w:rtl w:val="0"/>
        </w:rPr>
        <w:t xml:space="preserve">3. LISTA DE CHEQUEO (Seleccione la sección correspondiente a la etapa actual):</w:t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A. FASE PREINVERSIÓN 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(Idea/Perfil, Prefactibilidad, Factibilidad)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Idea / Perfil: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elaboró el Catastro y Mapa Preliminar de Actores territoriales?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realizaron reuniones iniciales de levantamiento de información con actores relevantes del territorio?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elaboró la Matriz de Condicionantes Territoriales (arqueológicas, sociales, climáticas)?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Prefactibilidad / Factibilidad: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realizaron visitas de reconocimiento territorial con actores locales y/o institucionales?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actualizó el Mapa de Actores y la Matriz de Condicionantes Territoriales?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formuló o ajustó el Plan de Participación Ciudadana, considerando los antecedentes levantados?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definió e implementó el Plan de Difusión del proceso de Participación Ciudadana?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desarrollaron rondas de actividades colectivas de participación, según corresponda?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determinó la procedencia de Consulta Indígena o Tribal, conforme a la normativa vigente?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realizó una evaluación interna del proceso PAC desarrollado en esta etapa?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B. FASE INVERSIÓN (Etapas: Diseño, Ejecución/Construcción)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Diseño: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realizaron reuniones de actualización con actores relevantes del territorio?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actualizó el Mapa de Actores y la Matriz de Condicionantes Territoriales?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formularon o ajustaron el Plan de Participación Ciudadana y el Plan de Difusión para esta etapa?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desarrollaron rondas de actividades colectivas de participación, cuando correspondía?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realizó una evaluación interna del proceso PAC desarrollado en esta etapa?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Ejecución / Construcción: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realizaron reuniones de coordinación y actualización con actores institucionales y territoriales relevantes?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encuentra implementado el Plan de Difusión del proceso constructivo?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realizaron reuniones informativas a la comunidad (inicio de obras y/o avances relevantes)?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¿Existen mecanismos formales de atención a requerimientos ciudadanos (consultas, reclamos y sugerencias)?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C. FASE OPERACIÓN (Etapa: Operación)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Operación: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¿Se realizó una evaluación ex post del servicio o proyecto, a partir de encuestas, análisis de percepción u otros mecanismos pertinentes?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FIRMA INSPECTOR/A FISCAL/RESPONSABLE: ____________________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FECHA: ____ /_____ /____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 SemiBold">
    <w:embedRegular w:fontKey="{00000000-0000-0000-0000-000000000000}" r:id="rId1" w:subsetted="0"/>
    <w:embedBold w:fontKey="{00000000-0000-0000-0000-000000000000}" r:id="rId2" w:subsetted="0"/>
  </w:font>
  <w:font w:name="Public Sans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ublic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Public Sans SemiBold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ffffff"/>
      <w:sz w:val="28"/>
      <w:szCs w:val="28"/>
      <w:shd w:fill="30358c" w:val="clear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480" w:lineRule="auto"/>
    </w:pPr>
    <w:rPr>
      <w:b w:val="1"/>
      <w:bCs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200" w:before="400" w:line="276" w:lineRule="auto"/>
    </w:pPr>
    <w:rPr>
      <w:rFonts w:ascii="Manrope SemiBold" w:cs="Manrope SemiBold" w:eastAsia="Manrope SemiBold" w:hAnsi="Manrope SemiBold"/>
      <w:color w:val="1c4587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PublicSansSemiBold-regular.ttf"/><Relationship Id="rId10" Type="http://schemas.openxmlformats.org/officeDocument/2006/relationships/font" Target="fonts/PublicSans-boldItalic.ttf"/><Relationship Id="rId13" Type="http://schemas.openxmlformats.org/officeDocument/2006/relationships/font" Target="fonts/PublicSansSemiBold-italic.ttf"/><Relationship Id="rId12" Type="http://schemas.openxmlformats.org/officeDocument/2006/relationships/font" Target="fonts/PublicSansSemiBold-bold.ttf"/><Relationship Id="rId1" Type="http://schemas.openxmlformats.org/officeDocument/2006/relationships/font" Target="fonts/ManropeSemiBold-regular.ttf"/><Relationship Id="rId2" Type="http://schemas.openxmlformats.org/officeDocument/2006/relationships/font" Target="fonts/ManropeSemiBold-bold.ttf"/><Relationship Id="rId3" Type="http://schemas.openxmlformats.org/officeDocument/2006/relationships/font" Target="fonts/PublicSansMedium-regular.ttf"/><Relationship Id="rId4" Type="http://schemas.openxmlformats.org/officeDocument/2006/relationships/font" Target="fonts/PublicSansMedium-bold.ttf"/><Relationship Id="rId9" Type="http://schemas.openxmlformats.org/officeDocument/2006/relationships/font" Target="fonts/PublicSans-italic.ttf"/><Relationship Id="rId14" Type="http://schemas.openxmlformats.org/officeDocument/2006/relationships/font" Target="fonts/PublicSansSemiBold-boldItalic.ttf"/><Relationship Id="rId5" Type="http://schemas.openxmlformats.org/officeDocument/2006/relationships/font" Target="fonts/PublicSansMedium-italic.ttf"/><Relationship Id="rId6" Type="http://schemas.openxmlformats.org/officeDocument/2006/relationships/font" Target="fonts/PublicSansMedium-boldItalic.ttf"/><Relationship Id="rId7" Type="http://schemas.openxmlformats.org/officeDocument/2006/relationships/font" Target="fonts/PublicSans-regular.ttf"/><Relationship Id="rId8" Type="http://schemas.openxmlformats.org/officeDocument/2006/relationships/font" Target="fonts/Public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