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72kzas9qper1" w:id="0"/>
      <w:bookmarkEnd w:id="0"/>
      <w:r w:rsidDel="00000000" w:rsidR="00000000" w:rsidRPr="00000000">
        <w:rPr>
          <w:color w:val="ffffff"/>
          <w:shd w:fill="30358c" w:val="clear"/>
          <w:rtl w:val="0"/>
        </w:rPr>
        <w:t xml:space="preserve">FICHA N°7:</w:t>
      </w:r>
      <w:r w:rsidDel="00000000" w:rsidR="00000000" w:rsidRPr="00000000">
        <w:rPr>
          <w:rtl w:val="0"/>
        </w:rPr>
        <w:t xml:space="preserve"> PLAN TIPO DE DIFUSIÓN DEL PROCESO DE PARTICIPACIÓN CIUDADANA </w:t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a53n3gmh1xqe" w:id="1"/>
      <w:bookmarkEnd w:id="1"/>
      <w:r w:rsidDel="00000000" w:rsidR="00000000" w:rsidRPr="00000000">
        <w:rPr>
          <w:rtl w:val="0"/>
        </w:rPr>
        <w:t xml:space="preserve">1. OBJETIVO: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Definir los canales, mensajes y acciones de difusión necesarios para asegurar una convocatoria adecuada y una entrega de información oportuna, clara y accesible a la comunidad durante todo el proceso de Participación Ciudadana del proyecto.</w:t>
      </w:r>
    </w:p>
    <w:p w:rsidR="00000000" w:rsidDel="00000000" w:rsidP="00000000" w:rsidRDefault="00000000" w:rsidRPr="00000000" w14:paraId="00000004">
      <w:pPr>
        <w:pStyle w:val="Heading2"/>
        <w:rPr/>
      </w:pPr>
      <w:bookmarkStart w:colFirst="0" w:colLast="0" w:name="_lmk8vcxnjznj" w:id="2"/>
      <w:bookmarkEnd w:id="2"/>
      <w:r w:rsidDel="00000000" w:rsidR="00000000" w:rsidRPr="00000000">
        <w:rPr>
          <w:rtl w:val="0"/>
        </w:rPr>
        <w:t xml:space="preserve">2. DESCRIPCIÓN: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Herramienta orientadora para planificar y sistematizar las acciones de difusión y comunicación del proceso de Participación Ciudadana, considerando públicos objetivo, mensajes clave, medios y formatos de comunicación, cronograma de difusión y mecanismos de retroalimentación.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El plan de difusión debe considerar criterios de pertinencia territorial, cultural, lingüística y de género, ajustándose a las características del territorio y de los actores involucrados.</w:t>
      </w:r>
    </w:p>
    <w:p w:rsidR="00000000" w:rsidDel="00000000" w:rsidP="00000000" w:rsidRDefault="00000000" w:rsidRPr="00000000" w14:paraId="00000007">
      <w:pPr>
        <w:pStyle w:val="Heading2"/>
        <w:spacing w:after="240" w:lineRule="auto"/>
        <w:rPr/>
      </w:pPr>
      <w:bookmarkStart w:colFirst="0" w:colLast="0" w:name="_4e7g7ru512x9" w:id="3"/>
      <w:bookmarkEnd w:id="3"/>
      <w:r w:rsidDel="00000000" w:rsidR="00000000" w:rsidRPr="00000000">
        <w:rPr>
          <w:rtl w:val="0"/>
        </w:rPr>
        <w:t xml:space="preserve">3. MATRIZ PLAN DE DIFUSIÓN   </w:t>
      </w:r>
    </w:p>
    <w:tbl>
      <w:tblPr>
        <w:tblStyle w:val="Table1"/>
        <w:tblW w:w="92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260"/>
        <w:gridCol w:w="4980"/>
        <w:tblGridChange w:id="0">
          <w:tblGrid>
            <w:gridCol w:w="4260"/>
            <w:gridCol w:w="49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08">
            <w:pPr>
              <w:spacing w:after="200" w:before="160" w:line="24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1. Objetivos: </w:t>
            </w:r>
          </w:p>
          <w:p w:rsidR="00000000" w:rsidDel="00000000" w:rsidP="00000000" w:rsidRDefault="00000000" w:rsidRPr="00000000" w14:paraId="00000009">
            <w:pPr>
              <w:spacing w:after="200" w:before="160" w:line="24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Definir qué se quiere comunicar y cuáles son las metas específicas que se buscan alcanzar en función de los procesos PAC.</w:t>
            </w:r>
          </w:p>
        </w:tc>
        <w:tc>
          <w:tcPr>
            <w:tcBorders>
              <w:top w:color="30358c" w:space="0" w:sz="4" w:val="single"/>
              <w:left w:color="ffffff" w:space="0" w:sz="4" w:val="single"/>
              <w:bottom w:color="30358c" w:space="0" w:sz="4" w:val="single"/>
              <w:right w:color="30358c" w:space="0" w:sz="4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0A">
            <w:pPr>
              <w:spacing w:after="200" w:before="16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0B">
            <w:pPr>
              <w:spacing w:after="200" w:before="160" w:line="24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2. Idea Base: </w:t>
            </w:r>
          </w:p>
          <w:p w:rsidR="00000000" w:rsidDel="00000000" w:rsidP="00000000" w:rsidRDefault="00000000" w:rsidRPr="00000000" w14:paraId="0000000C">
            <w:pPr>
              <w:spacing w:after="200" w:before="160" w:line="24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Definir una idea fuerza de los contenidos a entregar. </w:t>
            </w:r>
          </w:p>
        </w:tc>
        <w:tc>
          <w:tcPr>
            <w:tcBorders>
              <w:top w:color="30358c" w:space="0" w:sz="4" w:val="single"/>
              <w:left w:color="ffffff" w:space="0" w:sz="4" w:val="single"/>
              <w:bottom w:color="30358c" w:space="0" w:sz="4" w:val="single"/>
              <w:right w:color="30358c" w:space="0" w:sz="4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0D">
            <w:pPr>
              <w:spacing w:after="200" w:before="16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spacing w:after="200" w:before="16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0F">
            <w:pPr>
              <w:spacing w:after="200" w:before="160" w:line="24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3. Público objetivo:</w:t>
            </w:r>
          </w:p>
          <w:p w:rsidR="00000000" w:rsidDel="00000000" w:rsidP="00000000" w:rsidRDefault="00000000" w:rsidRPr="00000000" w14:paraId="00000010">
            <w:pPr>
              <w:spacing w:after="200" w:before="160" w:line="240" w:lineRule="auto"/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Definir listado de grupos y comunidades a los que el plan de difusión quiere llegar.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200" w:before="160" w:line="240" w:lineRule="auto"/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Es importante segmentar los públicos considerando factores territoriales, socioeconómicos y digitales.</w:t>
            </w:r>
          </w:p>
        </w:tc>
        <w:tc>
          <w:tcPr>
            <w:tcBorders>
              <w:top w:color="30358c" w:space="0" w:sz="4" w:val="single"/>
              <w:left w:color="ffffff" w:space="0" w:sz="4" w:val="single"/>
              <w:bottom w:color="30358c" w:space="0" w:sz="4" w:val="single"/>
              <w:right w:color="30358c" w:space="0" w:sz="4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12">
            <w:pPr>
              <w:spacing w:after="200" w:before="16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13">
            <w:pPr>
              <w:spacing w:after="200" w:before="160" w:line="24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4. Canales de comunicación: </w:t>
            </w:r>
          </w:p>
          <w:p w:rsidR="00000000" w:rsidDel="00000000" w:rsidP="00000000" w:rsidRDefault="00000000" w:rsidRPr="00000000" w14:paraId="00000014">
            <w:pPr>
              <w:spacing w:after="200" w:before="160" w:line="24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Definir listado de medios disponibles para comunicar el mensaje a los públicos objetivos. </w:t>
            </w:r>
          </w:p>
          <w:p w:rsidR="00000000" w:rsidDel="00000000" w:rsidP="00000000" w:rsidRDefault="00000000" w:rsidRPr="00000000" w14:paraId="00000015">
            <w:pPr>
              <w:spacing w:after="200" w:before="160" w:line="240" w:lineRule="auto"/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Se recomienda combinar canales presenciales y digitales para garantizar cobertura inclusiva</w:t>
            </w:r>
          </w:p>
        </w:tc>
        <w:tc>
          <w:tcPr>
            <w:tcBorders>
              <w:top w:color="30358c" w:space="0" w:sz="4" w:val="single"/>
              <w:left w:color="ffffff" w:space="0" w:sz="4" w:val="single"/>
              <w:bottom w:color="30358c" w:space="0" w:sz="4" w:val="single"/>
              <w:right w:color="30358c" w:space="0" w:sz="4" w:val="single"/>
            </w:tcBorders>
            <w:shd w:fill="e7e6e6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16">
            <w:pPr>
              <w:spacing w:after="200" w:before="160" w:line="240" w:lineRule="auto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Digitales (RRSS, web, emails masivos, otros)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ffffff" w:space="0" w:sz="4" w:val="single"/>
              <w:bottom w:color="30358c" w:space="0" w:sz="4" w:val="single"/>
              <w:right w:color="30358c" w:space="0" w:sz="4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18">
            <w:pPr>
              <w:spacing w:after="200" w:before="16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spacing w:after="200" w:before="16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spacing w:after="200" w:before="16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ffffff" w:space="0" w:sz="4" w:val="single"/>
              <w:bottom w:color="30358c" w:space="0" w:sz="4" w:val="single"/>
              <w:right w:color="30358c" w:space="0" w:sz="4" w:val="single"/>
            </w:tcBorders>
            <w:shd w:fill="e7e6e6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1C">
            <w:pPr>
              <w:spacing w:after="200" w:before="160" w:line="240" w:lineRule="auto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Tradicionales (diarios locales/regionales, radios, espacios comunitarios)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ffffff" w:space="0" w:sz="4" w:val="single"/>
              <w:bottom w:color="30358c" w:space="0" w:sz="4" w:val="single"/>
              <w:right w:color="30358c" w:space="0" w:sz="4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1E">
            <w:pPr>
              <w:spacing w:after="200" w:before="16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spacing w:after="200" w:before="16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spacing w:after="200" w:before="16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21">
            <w:pPr>
              <w:spacing w:after="200" w:before="160" w:line="24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5. Recursos escritos, gráficos y Audiovisuales.</w:t>
            </w:r>
          </w:p>
          <w:p w:rsidR="00000000" w:rsidDel="00000000" w:rsidP="00000000" w:rsidRDefault="00000000" w:rsidRPr="00000000" w14:paraId="00000022">
            <w:pPr>
              <w:spacing w:after="200" w:before="160" w:line="240" w:lineRule="auto"/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Definir recursos gráficos, audiovisuales e interactivos que se usarán para hacer llegar el mensaje por los distintos canales y a los públicos objetivos. </w:t>
            </w:r>
          </w:p>
        </w:tc>
        <w:tc>
          <w:tcPr>
            <w:tcBorders>
              <w:top w:color="30358c" w:space="0" w:sz="4" w:val="single"/>
              <w:left w:color="ffffff" w:space="0" w:sz="4" w:val="single"/>
              <w:bottom w:color="30358c" w:space="0" w:sz="4" w:val="single"/>
              <w:right w:color="30358c" w:space="0" w:sz="4" w:val="single"/>
            </w:tcBorders>
            <w:shd w:fill="e7e6e6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23">
            <w:pPr>
              <w:spacing w:after="200" w:before="160" w:line="240" w:lineRule="auto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Gráficos y escritos (comunicados, infografías, fotografías):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ffffff" w:space="0" w:sz="4" w:val="single"/>
              <w:bottom w:color="30358c" w:space="0" w:sz="4" w:val="single"/>
              <w:right w:color="30358c" w:space="0" w:sz="4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25">
            <w:pPr>
              <w:spacing w:after="200" w:before="16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26">
            <w:pPr>
              <w:spacing w:after="200" w:before="16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spacing w:after="200" w:before="16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ffffff" w:space="0" w:sz="4" w:val="single"/>
              <w:bottom w:color="30358c" w:space="0" w:sz="4" w:val="single"/>
              <w:right w:color="30358c" w:space="0" w:sz="4" w:val="single"/>
            </w:tcBorders>
            <w:shd w:fill="e7e6e6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29">
            <w:pPr>
              <w:spacing w:after="200" w:before="160" w:line="240" w:lineRule="auto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Audiovisuales (entrevistas, cápsulas radiales, videos): 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ffffff" w:space="0" w:sz="4" w:val="single"/>
              <w:bottom w:color="30358c" w:space="0" w:sz="4" w:val="single"/>
              <w:right w:color="30358c" w:space="0" w:sz="4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2B">
            <w:pPr>
              <w:spacing w:after="200" w:before="16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spacing w:after="200" w:before="16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2D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ffffff" w:space="0" w:sz="4" w:val="single"/>
              <w:bottom w:color="30358c" w:space="0" w:sz="4" w:val="single"/>
              <w:right w:color="30358c" w:space="0" w:sz="4" w:val="single"/>
            </w:tcBorders>
            <w:shd w:fill="e7e6e6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2E">
            <w:pPr>
              <w:spacing w:after="200" w:before="160" w:line="240" w:lineRule="auto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Interactivos (encuestas, formularios): 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2F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ffffff" w:space="0" w:sz="4" w:val="single"/>
              <w:bottom w:color="30358c" w:space="0" w:sz="4" w:val="single"/>
              <w:right w:color="30358c" w:space="0" w:sz="4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30">
            <w:pPr>
              <w:spacing w:after="200" w:before="16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1">
            <w:pPr>
              <w:spacing w:after="200" w:before="16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2">
            <w:pPr>
              <w:spacing w:after="200" w:before="16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33">
            <w:pPr>
              <w:spacing w:after="200" w:before="160" w:line="24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6. Cronograma   </w:t>
            </w:r>
          </w:p>
          <w:p w:rsidR="00000000" w:rsidDel="00000000" w:rsidP="00000000" w:rsidRDefault="00000000" w:rsidRPr="00000000" w14:paraId="00000034">
            <w:pPr>
              <w:spacing w:after="200" w:before="160" w:line="240" w:lineRule="auto"/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Definir mensajes, medios y recursos gráficos y audiovisuales en al menos tres momentos del proceso PAC (inicio, desarrollo y cierre) </w:t>
            </w:r>
          </w:p>
        </w:tc>
        <w:tc>
          <w:tcPr>
            <w:tcBorders>
              <w:top w:color="30358c" w:space="0" w:sz="4" w:val="single"/>
              <w:left w:color="ffffff" w:space="0" w:sz="4" w:val="single"/>
              <w:bottom w:color="30358c" w:space="0" w:sz="4" w:val="single"/>
              <w:right w:color="30358c" w:space="0" w:sz="4" w:val="single"/>
            </w:tcBorders>
            <w:shd w:fill="e7e6e6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35">
            <w:pPr>
              <w:spacing w:after="200" w:before="160" w:line="240" w:lineRule="auto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Inicio PAC: 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ffffff" w:space="0" w:sz="4" w:val="single"/>
              <w:bottom w:color="30358c" w:space="0" w:sz="4" w:val="single"/>
              <w:right w:color="30358c" w:space="0" w:sz="4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37">
            <w:pPr>
              <w:spacing w:after="200" w:before="16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8">
            <w:pPr>
              <w:spacing w:after="200" w:before="16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9">
            <w:pPr>
              <w:spacing w:after="200" w:before="16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A">
            <w:pPr>
              <w:spacing w:after="200" w:before="16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B">
            <w:pPr>
              <w:spacing w:after="200" w:before="16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3C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ffffff" w:space="0" w:sz="4" w:val="single"/>
              <w:bottom w:color="30358c" w:space="0" w:sz="4" w:val="single"/>
              <w:right w:color="30358c" w:space="0" w:sz="4" w:val="single"/>
            </w:tcBorders>
            <w:shd w:fill="e7e6e6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3D">
            <w:pPr>
              <w:spacing w:after="200" w:before="16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Desarrollo PAC: 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3E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ffffff" w:space="0" w:sz="4" w:val="single"/>
              <w:bottom w:color="30358c" w:space="0" w:sz="4" w:val="single"/>
              <w:right w:color="30358c" w:space="0" w:sz="4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3F">
            <w:pPr>
              <w:spacing w:after="200" w:before="16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0">
            <w:pPr>
              <w:spacing w:after="200" w:before="16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1">
            <w:pPr>
              <w:spacing w:after="200" w:before="16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2">
            <w:pPr>
              <w:spacing w:after="200" w:before="16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3">
            <w:pPr>
              <w:spacing w:after="200" w:before="16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44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ffffff" w:space="0" w:sz="4" w:val="single"/>
              <w:bottom w:color="30358c" w:space="0" w:sz="4" w:val="single"/>
              <w:right w:color="30358c" w:space="0" w:sz="4" w:val="single"/>
            </w:tcBorders>
            <w:shd w:fill="e7e6e6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45">
            <w:pPr>
              <w:spacing w:after="200" w:before="16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Cierre PAC: 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46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0358c" w:space="0" w:sz="4" w:val="single"/>
              <w:left w:color="ffffff" w:space="0" w:sz="4" w:val="single"/>
              <w:bottom w:color="30358c" w:space="0" w:sz="4" w:val="single"/>
              <w:right w:color="30358c" w:space="0" w:sz="4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47">
            <w:pPr>
              <w:spacing w:after="200" w:before="16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8">
            <w:pPr>
              <w:spacing w:after="200" w:before="16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9">
            <w:pPr>
              <w:spacing w:after="200" w:before="16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A">
            <w:pPr>
              <w:spacing w:after="200" w:before="16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B">
            <w:pPr>
              <w:spacing w:after="200" w:before="16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C">
      <w:pPr>
        <w:spacing w:after="200" w:before="16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ublic Sans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ublic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Public Sans SemiBold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jc w:val="right"/>
      <w:rPr>
        <w:color w:val="30358c"/>
      </w:rPr>
    </w:pPr>
    <w:r w:rsidDel="00000000" w:rsidR="00000000" w:rsidRPr="00000000">
      <w:rPr>
        <w:color w:val="30358c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rPr/>
    </w:pPr>
    <w:r w:rsidDel="00000000" w:rsidR="00000000" w:rsidRPr="00000000">
      <w:rPr/>
      <w:drawing>
        <wp:inline distB="114300" distT="114300" distL="114300" distR="114300">
          <wp:extent cx="720000" cy="655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0000" cy="655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ublic Sans" w:cs="Public Sans" w:eastAsia="Public Sans" w:hAnsi="Public Sans"/>
        <w:lang w:val="es"/>
      </w:rPr>
    </w:rPrDefault>
    <w:pPrDefault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200" w:before="160"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120" w:line="275.9999942779541" w:lineRule="auto"/>
    </w:pPr>
    <w:rPr>
      <w:rFonts w:ascii="Public Sans Medium" w:cs="Public Sans Medium" w:eastAsia="Public Sans Medium" w:hAnsi="Public Sans Medium"/>
      <w:color w:val="30358c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line="240" w:lineRule="auto"/>
    </w:pPr>
    <w:rPr>
      <w:rFonts w:ascii="Public Sans SemiBold" w:cs="Public Sans SemiBold" w:eastAsia="Public Sans SemiBold" w:hAnsi="Public Sans SemiBold"/>
      <w:color w:val="30358c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0" w:line="275" w:lineRule="auto"/>
      <w:jc w:val="left"/>
    </w:pPr>
    <w:rPr>
      <w:b w:val="1"/>
      <w:bCs w:val="1"/>
      <w:color w:val="434343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240" w:before="240" w:line="240" w:lineRule="auto"/>
      <w:jc w:val="left"/>
    </w:pPr>
    <w:rPr>
      <w:b w:val="1"/>
      <w:bCs w:val="1"/>
      <w:color w:val="30358c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color w:val="1155cc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360" w:lineRule="auto"/>
    </w:pPr>
    <w:rPr>
      <w:color w:val="434343"/>
    </w:rPr>
  </w:style>
  <w:style w:type="paragraph" w:styleId="Title">
    <w:name w:val="Title"/>
    <w:basedOn w:val="Normal"/>
    <w:next w:val="Normal"/>
    <w:pPr>
      <w:keepNext w:val="1"/>
      <w:keepLines w:val="1"/>
      <w:spacing w:after="1200" w:line="312" w:lineRule="auto"/>
    </w:pPr>
    <w:rPr>
      <w:rFonts w:ascii="Public Sans" w:cs="Public Sans" w:eastAsia="Public Sans" w:hAnsi="Public Sans"/>
      <w:color w:val="073763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95b3d7" w:space="0" w:sz="12" w:val="single"/>
        </w:tcBorders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95b3d7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ublicSansMedium-regular.ttf"/><Relationship Id="rId2" Type="http://schemas.openxmlformats.org/officeDocument/2006/relationships/font" Target="fonts/PublicSansMedium-bold.ttf"/><Relationship Id="rId3" Type="http://schemas.openxmlformats.org/officeDocument/2006/relationships/font" Target="fonts/PublicSansMedium-italic.ttf"/><Relationship Id="rId4" Type="http://schemas.openxmlformats.org/officeDocument/2006/relationships/font" Target="fonts/PublicSansMedium-boldItalic.ttf"/><Relationship Id="rId11" Type="http://schemas.openxmlformats.org/officeDocument/2006/relationships/font" Target="fonts/PublicSansSemiBold-italic.ttf"/><Relationship Id="rId10" Type="http://schemas.openxmlformats.org/officeDocument/2006/relationships/font" Target="fonts/PublicSansSemiBold-bold.ttf"/><Relationship Id="rId12" Type="http://schemas.openxmlformats.org/officeDocument/2006/relationships/font" Target="fonts/PublicSansSemiBold-boldItalic.ttf"/><Relationship Id="rId9" Type="http://schemas.openxmlformats.org/officeDocument/2006/relationships/font" Target="fonts/PublicSansSemiBold-regular.ttf"/><Relationship Id="rId5" Type="http://schemas.openxmlformats.org/officeDocument/2006/relationships/font" Target="fonts/PublicSans-regular.ttf"/><Relationship Id="rId6" Type="http://schemas.openxmlformats.org/officeDocument/2006/relationships/font" Target="fonts/PublicSans-bold.ttf"/><Relationship Id="rId7" Type="http://schemas.openxmlformats.org/officeDocument/2006/relationships/font" Target="fonts/PublicSans-italic.ttf"/><Relationship Id="rId8" Type="http://schemas.openxmlformats.org/officeDocument/2006/relationships/font" Target="fonts/PublicSan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